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0A" w:rsidRPr="000B140A" w:rsidRDefault="000B140A" w:rsidP="000B140A">
      <w:pPr>
        <w:pStyle w:val="Heading1"/>
      </w:pPr>
      <w:bookmarkStart w:id="0" w:name="_GoBack"/>
      <w:bookmarkEnd w:id="0"/>
      <w:r w:rsidRPr="000B140A">
        <w:t xml:space="preserve">Scope of </w:t>
      </w:r>
      <w:r w:rsidR="00E1154A">
        <w:t xml:space="preserve">financial </w:t>
      </w:r>
      <w:r w:rsidRPr="000B140A">
        <w:t>audit, respective responsibilities and other matters</w:t>
      </w:r>
    </w:p>
    <w:p w:rsidR="000B140A" w:rsidRPr="000B140A" w:rsidRDefault="000B140A" w:rsidP="000B140A"/>
    <w:p w:rsidR="001C0CB2" w:rsidRPr="003E359F" w:rsidRDefault="001C0CB2" w:rsidP="001C0CB2">
      <w:pPr>
        <w:pStyle w:val="Heading3"/>
        <w:spacing w:before="60" w:after="60"/>
        <w:jc w:val="both"/>
        <w:rPr>
          <w:rFonts w:asciiTheme="minorHAnsi" w:hAnsiTheme="minorHAnsi"/>
          <w:color w:val="17365D" w:themeColor="text2" w:themeShade="BF"/>
          <w:szCs w:val="22"/>
        </w:rPr>
      </w:pPr>
      <w:r w:rsidRPr="003E359F">
        <w:rPr>
          <w:rFonts w:asciiTheme="minorHAnsi" w:hAnsiTheme="minorHAnsi"/>
          <w:color w:val="17365D" w:themeColor="text2" w:themeShade="BF"/>
          <w:szCs w:val="22"/>
        </w:rPr>
        <w:t xml:space="preserve">Scope of the audit </w:t>
      </w:r>
    </w:p>
    <w:p w:rsidR="001C0CB2" w:rsidRPr="007861CA" w:rsidRDefault="001C0CB2" w:rsidP="007861CA">
      <w:pPr>
        <w:numPr>
          <w:ilvl w:val="0"/>
          <w:numId w:val="18"/>
        </w:numPr>
        <w:spacing w:before="60" w:after="60"/>
        <w:ind w:left="709" w:hanging="709"/>
        <w:rPr>
          <w:rFonts w:asciiTheme="minorHAnsi" w:hAnsiTheme="minorHAnsi"/>
          <w:szCs w:val="22"/>
        </w:rPr>
      </w:pPr>
      <w:r w:rsidRPr="00E16FF2">
        <w:rPr>
          <w:rFonts w:asciiTheme="minorHAnsi" w:hAnsiTheme="minorHAnsi"/>
          <w:szCs w:val="22"/>
        </w:rPr>
        <w:t xml:space="preserve">Our </w:t>
      </w:r>
      <w:r>
        <w:rPr>
          <w:rFonts w:asciiTheme="minorHAnsi" w:hAnsiTheme="minorHAnsi"/>
          <w:szCs w:val="22"/>
        </w:rPr>
        <w:t>audit of the</w:t>
      </w:r>
      <w:r w:rsidRPr="00E16FF2">
        <w:rPr>
          <w:rFonts w:asciiTheme="minorHAnsi" w:hAnsiTheme="minorHAnsi"/>
          <w:szCs w:val="22"/>
        </w:rPr>
        <w:t xml:space="preserve"> financial statements will be carried out in accordance with International Sta</w:t>
      </w:r>
      <w:r w:rsidR="000B140A">
        <w:rPr>
          <w:rFonts w:asciiTheme="minorHAnsi" w:hAnsiTheme="minorHAnsi"/>
          <w:szCs w:val="22"/>
        </w:rPr>
        <w:t>ndards on Auditing (UK</w:t>
      </w:r>
      <w:r w:rsidRPr="00E16FF2">
        <w:rPr>
          <w:rFonts w:asciiTheme="minorHAnsi" w:hAnsiTheme="minorHAnsi"/>
          <w:szCs w:val="22"/>
        </w:rPr>
        <w:t>)</w:t>
      </w:r>
      <w:r>
        <w:rPr>
          <w:rFonts w:asciiTheme="minorHAnsi" w:hAnsiTheme="minorHAnsi"/>
          <w:szCs w:val="22"/>
        </w:rPr>
        <w:t xml:space="preserve"> (ISAs)</w:t>
      </w:r>
      <w:r w:rsidRPr="00E16FF2">
        <w:rPr>
          <w:rFonts w:asciiTheme="minorHAnsi" w:hAnsiTheme="minorHAnsi"/>
          <w:szCs w:val="22"/>
        </w:rPr>
        <w:t xml:space="preserve"> issued</w:t>
      </w:r>
      <w:r w:rsidR="00B952AF">
        <w:rPr>
          <w:rFonts w:asciiTheme="minorHAnsi" w:hAnsiTheme="minorHAnsi"/>
          <w:szCs w:val="22"/>
        </w:rPr>
        <w:t xml:space="preserve"> by the Financial Reporting Council (FRC</w:t>
      </w:r>
      <w:r w:rsidRPr="00E16FF2">
        <w:rPr>
          <w:rFonts w:asciiTheme="minorHAnsi" w:hAnsiTheme="minorHAnsi"/>
          <w:szCs w:val="22"/>
        </w:rPr>
        <w:t>), taking into acco</w:t>
      </w:r>
      <w:r w:rsidR="00B952AF">
        <w:rPr>
          <w:rFonts w:asciiTheme="minorHAnsi" w:hAnsiTheme="minorHAnsi"/>
          <w:szCs w:val="22"/>
        </w:rPr>
        <w:t>unt the Financial Reporting Council’s Practice Note 10</w:t>
      </w:r>
      <w:r w:rsidRPr="00B952AF">
        <w:rPr>
          <w:rFonts w:asciiTheme="minorHAnsi" w:hAnsiTheme="minorHAnsi"/>
          <w:szCs w:val="22"/>
        </w:rPr>
        <w:t xml:space="preserve">: </w:t>
      </w:r>
      <w:r w:rsidRPr="00B952AF">
        <w:rPr>
          <w:rFonts w:asciiTheme="minorHAnsi" w:hAnsiTheme="minorHAnsi"/>
          <w:i/>
          <w:szCs w:val="22"/>
        </w:rPr>
        <w:t>Audit of Financial Statements in Public Sector Bodies</w:t>
      </w:r>
      <w:r w:rsidR="00B952AF">
        <w:rPr>
          <w:rFonts w:asciiTheme="minorHAnsi" w:hAnsiTheme="minorHAnsi"/>
          <w:i/>
          <w:szCs w:val="22"/>
        </w:rPr>
        <w:t xml:space="preserve"> in the United Kingdom</w:t>
      </w:r>
      <w:r w:rsidRPr="00B952AF">
        <w:rPr>
          <w:rFonts w:asciiTheme="minorHAnsi" w:hAnsiTheme="minorHAnsi"/>
          <w:szCs w:val="22"/>
        </w:rPr>
        <w:t xml:space="preserve"> </w:t>
      </w:r>
      <w:r w:rsidRPr="007861CA">
        <w:rPr>
          <w:rFonts w:asciiTheme="minorHAnsi" w:hAnsiTheme="minorHAnsi"/>
          <w:szCs w:val="22"/>
        </w:rPr>
        <w:t>[and</w:t>
      </w:r>
      <w:r w:rsidR="007861CA" w:rsidRPr="007861CA">
        <w:rPr>
          <w:rFonts w:asciiTheme="minorHAnsi" w:hAnsiTheme="minorHAnsi"/>
          <w:szCs w:val="22"/>
        </w:rPr>
        <w:t>, if applicable,</w:t>
      </w:r>
      <w:r w:rsidRPr="007861CA">
        <w:rPr>
          <w:rFonts w:asciiTheme="minorHAnsi" w:hAnsiTheme="minorHAnsi"/>
          <w:szCs w:val="22"/>
        </w:rPr>
        <w:t xml:space="preserve"> Practice Note 15 (Revised): </w:t>
      </w:r>
      <w:r w:rsidRPr="007861CA">
        <w:rPr>
          <w:rFonts w:asciiTheme="minorHAnsi" w:hAnsiTheme="minorHAnsi"/>
          <w:i/>
          <w:szCs w:val="22"/>
        </w:rPr>
        <w:t>The Audit of Occupational Pension Schemes in the United Kingdom (Revised)</w:t>
      </w:r>
      <w:r w:rsidRPr="007861CA">
        <w:rPr>
          <w:rFonts w:asciiTheme="minorHAnsi" w:hAnsiTheme="minorHAnsi"/>
          <w:szCs w:val="22"/>
        </w:rPr>
        <w:t xml:space="preserve"> for the audit of occupational pension schemes/Practice Note 11 (Revised): </w:t>
      </w:r>
      <w:r w:rsidRPr="007861CA">
        <w:rPr>
          <w:rFonts w:asciiTheme="minorHAnsi" w:hAnsiTheme="minorHAnsi"/>
          <w:i/>
          <w:szCs w:val="22"/>
        </w:rPr>
        <w:t>The Audit of Charities in the United Kingdom (Revised)</w:t>
      </w:r>
      <w:r w:rsidRPr="007861CA">
        <w:rPr>
          <w:rFonts w:asciiTheme="minorHAnsi" w:hAnsiTheme="minorHAnsi"/>
          <w:szCs w:val="22"/>
        </w:rPr>
        <w:t xml:space="preserve"> for the audit of Charities]. These standards represent best practice in auditing and aim to promote uniformity of practice throughout the world, thereby increasing public confidence in the audit process.</w:t>
      </w:r>
      <w:r w:rsidR="007861CA" w:rsidRPr="007861CA">
        <w:rPr>
          <w:rFonts w:asciiTheme="minorHAnsi" w:hAnsiTheme="minorHAnsi"/>
          <w:szCs w:val="22"/>
        </w:rPr>
        <w:br/>
      </w:r>
    </w:p>
    <w:p w:rsidR="001C0CB2" w:rsidRPr="007861CA" w:rsidRDefault="001C0CB2" w:rsidP="007861CA">
      <w:pPr>
        <w:numPr>
          <w:ilvl w:val="0"/>
          <w:numId w:val="18"/>
        </w:numPr>
        <w:spacing w:before="60" w:after="60"/>
        <w:ind w:left="709" w:hanging="709"/>
        <w:rPr>
          <w:rFonts w:asciiTheme="minorHAnsi" w:hAnsiTheme="minorHAnsi"/>
          <w:szCs w:val="22"/>
        </w:rPr>
      </w:pPr>
      <w:r w:rsidRPr="007861CA">
        <w:rPr>
          <w:rFonts w:asciiTheme="minorHAnsi" w:hAnsiTheme="minorHAnsi"/>
          <w:szCs w:val="22"/>
        </w:rPr>
        <w:t>Our audit procedures are designed primarily to provide an opinion on whether the financial statements provide a true an</w:t>
      </w:r>
      <w:r w:rsidR="00E1154A">
        <w:rPr>
          <w:rFonts w:asciiTheme="minorHAnsi" w:hAnsiTheme="minorHAnsi"/>
          <w:szCs w:val="22"/>
        </w:rPr>
        <w:t xml:space="preserve">d fair view of the position at the year end </w:t>
      </w:r>
      <w:r w:rsidRPr="007861CA">
        <w:rPr>
          <w:rFonts w:asciiTheme="minorHAnsi" w:hAnsiTheme="minorHAnsi"/>
          <w:szCs w:val="22"/>
        </w:rPr>
        <w:t xml:space="preserve">and the activities reported for the year then ended, that the expenditure and income have been applied to the purposes intended by the Northern Ireland Assembly and that the transactions conform to the authorities which govern them (‘regularity’). </w:t>
      </w:r>
      <w:r w:rsidR="007861CA" w:rsidRPr="007861CA">
        <w:rPr>
          <w:rFonts w:asciiTheme="minorHAnsi" w:hAnsiTheme="minorHAnsi"/>
          <w:szCs w:val="22"/>
        </w:rPr>
        <w:br/>
      </w:r>
    </w:p>
    <w:p w:rsidR="001C0CB2" w:rsidRPr="00711AB9" w:rsidRDefault="001C0CB2" w:rsidP="00AF3304">
      <w:pPr>
        <w:numPr>
          <w:ilvl w:val="0"/>
          <w:numId w:val="18"/>
        </w:numPr>
        <w:spacing w:before="60" w:after="60"/>
        <w:ind w:left="709" w:hanging="709"/>
        <w:rPr>
          <w:rFonts w:asciiTheme="minorHAnsi" w:hAnsiTheme="minorHAnsi"/>
          <w:szCs w:val="22"/>
        </w:rPr>
      </w:pPr>
      <w:r w:rsidRPr="007861CA">
        <w:rPr>
          <w:rFonts w:asciiTheme="minorHAnsi" w:hAnsiTheme="minorHAnsi"/>
          <w:szCs w:val="22"/>
        </w:rPr>
        <w:t>In addition we have a professional responsibility to report if the financial statements do not comply in any material respect with the Government Financial Repo</w:t>
      </w:r>
      <w:r w:rsidR="007861CA">
        <w:rPr>
          <w:rFonts w:asciiTheme="minorHAnsi" w:hAnsiTheme="minorHAnsi"/>
          <w:szCs w:val="22"/>
        </w:rPr>
        <w:t>rting Manual (FReM)/ Statement o</w:t>
      </w:r>
      <w:r w:rsidRPr="007861CA">
        <w:rPr>
          <w:rFonts w:asciiTheme="minorHAnsi" w:hAnsiTheme="minorHAnsi"/>
          <w:szCs w:val="22"/>
        </w:rPr>
        <w:t>f Recommended Practice (SOR</w:t>
      </w:r>
      <w:r w:rsidR="007861CA" w:rsidRPr="007861CA">
        <w:rPr>
          <w:rFonts w:asciiTheme="minorHAnsi" w:hAnsiTheme="minorHAnsi"/>
          <w:szCs w:val="22"/>
        </w:rPr>
        <w:t>P)/ other</w:t>
      </w:r>
      <w:r w:rsidRPr="007861CA">
        <w:rPr>
          <w:rFonts w:asciiTheme="minorHAnsi" w:hAnsiTheme="minorHAnsi"/>
          <w:szCs w:val="22"/>
        </w:rPr>
        <w:t xml:space="preserve"> and relevant guidance issued by </w:t>
      </w:r>
      <w:r w:rsidRPr="00572C4E">
        <w:rPr>
          <w:rFonts w:asciiTheme="minorHAnsi" w:hAnsiTheme="minorHAnsi"/>
          <w:szCs w:val="22"/>
        </w:rPr>
        <w:t>the relevant authority e.g. De</w:t>
      </w:r>
      <w:r w:rsidR="00126C3B" w:rsidRPr="00572C4E">
        <w:rPr>
          <w:rFonts w:asciiTheme="minorHAnsi" w:hAnsiTheme="minorHAnsi"/>
          <w:szCs w:val="22"/>
        </w:rPr>
        <w:t>partment of Finance</w:t>
      </w:r>
      <w:r w:rsidRPr="00572C4E">
        <w:rPr>
          <w:rFonts w:asciiTheme="minorHAnsi" w:hAnsiTheme="minorHAnsi"/>
          <w:szCs w:val="22"/>
        </w:rPr>
        <w:t xml:space="preserve"> </w:t>
      </w:r>
      <w:r w:rsidR="00126C3B" w:rsidRPr="00572C4E">
        <w:rPr>
          <w:rFonts w:asciiTheme="minorHAnsi" w:hAnsiTheme="minorHAnsi"/>
          <w:szCs w:val="22"/>
        </w:rPr>
        <w:t>(DoF</w:t>
      </w:r>
      <w:r w:rsidRPr="00572C4E">
        <w:rPr>
          <w:rFonts w:asciiTheme="minorHAnsi" w:hAnsiTheme="minorHAnsi"/>
          <w:szCs w:val="22"/>
        </w:rPr>
        <w:t xml:space="preserve">) or in the case of NDPBs the relevant sponsor Department. </w:t>
      </w:r>
      <w:r w:rsidRPr="007861CA">
        <w:rPr>
          <w:rFonts w:asciiTheme="minorHAnsi" w:hAnsiTheme="minorHAnsi"/>
          <w:szCs w:val="22"/>
        </w:rPr>
        <w:t>We therefore review the quality, effectiveness and transparency of the accounting practices and financial reporting. This includes consideration of the appropriateness of accounting policies, accounting estimates and judgements and the adequacy of disclosures affected by unusual or non-recurring</w:t>
      </w:r>
      <w:r>
        <w:rPr>
          <w:rFonts w:asciiTheme="minorHAnsi" w:hAnsiTheme="minorHAnsi"/>
          <w:szCs w:val="22"/>
        </w:rPr>
        <w:t xml:space="preserve"> transactions recognised during the period. </w:t>
      </w:r>
      <w:r w:rsidR="007861CA">
        <w:rPr>
          <w:rFonts w:asciiTheme="minorHAnsi" w:hAnsiTheme="minorHAnsi"/>
          <w:szCs w:val="22"/>
        </w:rPr>
        <w:br/>
      </w:r>
    </w:p>
    <w:p w:rsidR="001C0CB2" w:rsidRPr="003E359F" w:rsidRDefault="001C0CB2" w:rsidP="007861CA">
      <w:pPr>
        <w:numPr>
          <w:ilvl w:val="0"/>
          <w:numId w:val="18"/>
        </w:numPr>
        <w:spacing w:before="60" w:after="60"/>
        <w:ind w:left="709" w:hanging="709"/>
        <w:rPr>
          <w:rFonts w:asciiTheme="minorHAnsi" w:hAnsiTheme="minorHAnsi"/>
          <w:szCs w:val="22"/>
        </w:rPr>
      </w:pPr>
      <w:r w:rsidRPr="00331775">
        <w:rPr>
          <w:rFonts w:asciiTheme="minorHAnsi" w:hAnsiTheme="minorHAnsi"/>
          <w:szCs w:val="22"/>
        </w:rPr>
        <w:t>As part of our audit we will review the information contained in the Annual Report</w:t>
      </w:r>
      <w:r>
        <w:rPr>
          <w:rFonts w:asciiTheme="minorHAnsi" w:hAnsiTheme="minorHAnsi"/>
          <w:szCs w:val="22"/>
        </w:rPr>
        <w:t xml:space="preserve">. Certain information given in the Annual Report and part of the Remuneration Report are subject to our audit opinion. Other information in the Annual report is reviewed only to the extent that we confirm </w:t>
      </w:r>
      <w:r w:rsidRPr="00331775">
        <w:rPr>
          <w:rFonts w:asciiTheme="minorHAnsi" w:hAnsiTheme="minorHAnsi"/>
          <w:szCs w:val="22"/>
        </w:rPr>
        <w:t xml:space="preserve">that it is consistent with the financial statements and our understanding of the business. </w:t>
      </w:r>
      <w:r w:rsidRPr="00E82BA8">
        <w:rPr>
          <w:rFonts w:asciiTheme="minorHAnsi" w:eastAsia="Arial" w:hAnsiTheme="minorHAnsi" w:cs="Arial"/>
          <w:color w:val="131313"/>
          <w:szCs w:val="22"/>
        </w:rPr>
        <w:t>We</w:t>
      </w:r>
      <w:r w:rsidRPr="00E82BA8">
        <w:rPr>
          <w:rFonts w:asciiTheme="minorHAnsi" w:eastAsia="Arial" w:hAnsiTheme="minorHAnsi" w:cs="Arial"/>
          <w:color w:val="131313"/>
          <w:spacing w:val="19"/>
          <w:szCs w:val="22"/>
        </w:rPr>
        <w:t xml:space="preserve"> </w:t>
      </w:r>
      <w:r w:rsidRPr="00E82BA8">
        <w:rPr>
          <w:rFonts w:asciiTheme="minorHAnsi" w:eastAsia="Arial" w:hAnsiTheme="minorHAnsi" w:cs="Arial"/>
          <w:color w:val="131313"/>
          <w:szCs w:val="22"/>
        </w:rPr>
        <w:t>also</w:t>
      </w:r>
      <w:r w:rsidRPr="00E82BA8">
        <w:rPr>
          <w:rFonts w:asciiTheme="minorHAnsi" w:eastAsia="Arial" w:hAnsiTheme="minorHAnsi" w:cs="Arial"/>
          <w:color w:val="131313"/>
          <w:spacing w:val="27"/>
          <w:szCs w:val="22"/>
        </w:rPr>
        <w:t xml:space="preserve"> </w:t>
      </w:r>
      <w:r w:rsidRPr="00E82BA8">
        <w:rPr>
          <w:rFonts w:asciiTheme="minorHAnsi" w:eastAsia="Arial" w:hAnsiTheme="minorHAnsi" w:cs="Arial"/>
          <w:color w:val="131313"/>
          <w:szCs w:val="22"/>
        </w:rPr>
        <w:t>review</w:t>
      </w:r>
      <w:r w:rsidRPr="00E82BA8">
        <w:rPr>
          <w:rFonts w:asciiTheme="minorHAnsi" w:eastAsia="Arial" w:hAnsiTheme="minorHAnsi" w:cs="Arial"/>
          <w:color w:val="131313"/>
          <w:spacing w:val="34"/>
          <w:szCs w:val="22"/>
        </w:rPr>
        <w:t xml:space="preserve"> </w:t>
      </w:r>
      <w:r w:rsidRPr="00E82BA8">
        <w:rPr>
          <w:rFonts w:asciiTheme="minorHAnsi" w:eastAsia="Arial" w:hAnsiTheme="minorHAnsi" w:cs="Arial"/>
          <w:color w:val="131313"/>
          <w:szCs w:val="22"/>
        </w:rPr>
        <w:t>the</w:t>
      </w:r>
      <w:r w:rsidRPr="00E82BA8">
        <w:rPr>
          <w:rFonts w:asciiTheme="minorHAnsi" w:eastAsia="Arial" w:hAnsiTheme="minorHAnsi" w:cs="Arial"/>
          <w:color w:val="131313"/>
          <w:spacing w:val="24"/>
          <w:szCs w:val="22"/>
        </w:rPr>
        <w:t xml:space="preserve"> </w:t>
      </w:r>
      <w:r w:rsidRPr="00E82BA8">
        <w:rPr>
          <w:rFonts w:asciiTheme="minorHAnsi" w:eastAsia="Arial" w:hAnsiTheme="minorHAnsi" w:cs="Arial"/>
          <w:color w:val="131313"/>
          <w:szCs w:val="22"/>
        </w:rPr>
        <w:t>overall</w:t>
      </w:r>
      <w:r w:rsidRPr="00E82BA8">
        <w:rPr>
          <w:rFonts w:asciiTheme="minorHAnsi" w:eastAsia="Arial" w:hAnsiTheme="minorHAnsi" w:cs="Arial"/>
          <w:color w:val="131313"/>
          <w:spacing w:val="27"/>
          <w:szCs w:val="22"/>
        </w:rPr>
        <w:t xml:space="preserve"> </w:t>
      </w:r>
      <w:r w:rsidRPr="00E82BA8">
        <w:rPr>
          <w:rFonts w:asciiTheme="minorHAnsi" w:eastAsia="Arial" w:hAnsiTheme="minorHAnsi" w:cs="Arial"/>
          <w:color w:val="131313"/>
          <w:szCs w:val="22"/>
        </w:rPr>
        <w:t>balance</w:t>
      </w:r>
      <w:r w:rsidRPr="00E82BA8">
        <w:rPr>
          <w:rFonts w:asciiTheme="minorHAnsi" w:eastAsia="Arial" w:hAnsiTheme="minorHAnsi" w:cs="Arial"/>
          <w:color w:val="131313"/>
          <w:spacing w:val="45"/>
          <w:szCs w:val="22"/>
        </w:rPr>
        <w:t xml:space="preserve"> </w:t>
      </w:r>
      <w:r w:rsidRPr="00E82BA8">
        <w:rPr>
          <w:rFonts w:asciiTheme="minorHAnsi" w:eastAsia="Arial" w:hAnsiTheme="minorHAnsi" w:cs="Arial"/>
          <w:color w:val="131313"/>
          <w:szCs w:val="22"/>
        </w:rPr>
        <w:t>and</w:t>
      </w:r>
      <w:r w:rsidRPr="00E82BA8">
        <w:rPr>
          <w:rFonts w:asciiTheme="minorHAnsi" w:eastAsia="Arial" w:hAnsiTheme="minorHAnsi" w:cs="Arial"/>
          <w:color w:val="131313"/>
          <w:spacing w:val="18"/>
          <w:szCs w:val="22"/>
        </w:rPr>
        <w:t xml:space="preserve"> </w:t>
      </w:r>
      <w:r w:rsidRPr="00E82BA8">
        <w:rPr>
          <w:rFonts w:asciiTheme="minorHAnsi" w:eastAsia="Arial" w:hAnsiTheme="minorHAnsi" w:cs="Arial"/>
          <w:color w:val="131313"/>
          <w:szCs w:val="22"/>
        </w:rPr>
        <w:t>clarity</w:t>
      </w:r>
      <w:r w:rsidRPr="00E82BA8">
        <w:rPr>
          <w:rFonts w:asciiTheme="minorHAnsi" w:eastAsia="Arial" w:hAnsiTheme="minorHAnsi" w:cs="Arial"/>
          <w:color w:val="131313"/>
          <w:spacing w:val="33"/>
          <w:szCs w:val="22"/>
        </w:rPr>
        <w:t xml:space="preserve"> </w:t>
      </w:r>
      <w:r w:rsidRPr="00E82BA8">
        <w:rPr>
          <w:rFonts w:asciiTheme="minorHAnsi" w:eastAsia="Arial" w:hAnsiTheme="minorHAnsi" w:cs="Arial"/>
          <w:color w:val="131313"/>
          <w:szCs w:val="22"/>
        </w:rPr>
        <w:t>of</w:t>
      </w:r>
      <w:r w:rsidRPr="00E82BA8">
        <w:rPr>
          <w:rFonts w:asciiTheme="minorHAnsi" w:eastAsia="Arial" w:hAnsiTheme="minorHAnsi" w:cs="Arial"/>
          <w:color w:val="131313"/>
          <w:spacing w:val="13"/>
          <w:szCs w:val="22"/>
        </w:rPr>
        <w:t xml:space="preserve"> </w:t>
      </w:r>
      <w:r w:rsidRPr="00E82BA8">
        <w:rPr>
          <w:rFonts w:asciiTheme="minorHAnsi" w:eastAsia="Arial" w:hAnsiTheme="minorHAnsi" w:cs="Arial"/>
          <w:color w:val="131313"/>
          <w:szCs w:val="22"/>
        </w:rPr>
        <w:t>information</w:t>
      </w:r>
      <w:r w:rsidRPr="00E82BA8">
        <w:rPr>
          <w:rFonts w:asciiTheme="minorHAnsi" w:eastAsia="Arial" w:hAnsiTheme="minorHAnsi" w:cs="Arial"/>
          <w:color w:val="131313"/>
          <w:spacing w:val="52"/>
          <w:szCs w:val="22"/>
        </w:rPr>
        <w:t xml:space="preserve"> </w:t>
      </w:r>
      <w:r w:rsidRPr="00E82BA8">
        <w:rPr>
          <w:rFonts w:asciiTheme="minorHAnsi" w:eastAsia="Arial" w:hAnsiTheme="minorHAnsi" w:cs="Arial"/>
          <w:color w:val="131313"/>
          <w:szCs w:val="22"/>
        </w:rPr>
        <w:t>contained</w:t>
      </w:r>
      <w:r w:rsidRPr="00E82BA8">
        <w:rPr>
          <w:rFonts w:asciiTheme="minorHAnsi" w:eastAsia="Arial" w:hAnsiTheme="minorHAnsi" w:cs="Arial"/>
          <w:color w:val="131313"/>
          <w:spacing w:val="45"/>
          <w:szCs w:val="22"/>
        </w:rPr>
        <w:t xml:space="preserve"> </w:t>
      </w:r>
      <w:r w:rsidRPr="00E82BA8">
        <w:rPr>
          <w:rFonts w:asciiTheme="minorHAnsi" w:eastAsia="Arial" w:hAnsiTheme="minorHAnsi" w:cs="Arial"/>
          <w:color w:val="131313"/>
          <w:szCs w:val="22"/>
        </w:rPr>
        <w:t>in</w:t>
      </w:r>
      <w:r w:rsidRPr="00E82BA8">
        <w:rPr>
          <w:rFonts w:asciiTheme="minorHAnsi" w:eastAsia="Arial" w:hAnsiTheme="minorHAnsi" w:cs="Arial"/>
          <w:color w:val="131313"/>
          <w:spacing w:val="16"/>
          <w:szCs w:val="22"/>
        </w:rPr>
        <w:t xml:space="preserve"> </w:t>
      </w:r>
      <w:r w:rsidRPr="00E82BA8">
        <w:rPr>
          <w:rFonts w:asciiTheme="minorHAnsi" w:eastAsia="Arial" w:hAnsiTheme="minorHAnsi" w:cs="Arial"/>
          <w:color w:val="131313"/>
          <w:w w:val="107"/>
          <w:szCs w:val="22"/>
        </w:rPr>
        <w:t xml:space="preserve">the </w:t>
      </w:r>
      <w:r w:rsidRPr="00E82BA8">
        <w:rPr>
          <w:rFonts w:asciiTheme="minorHAnsi" w:eastAsia="Arial" w:hAnsiTheme="minorHAnsi" w:cs="Arial"/>
          <w:color w:val="131313"/>
          <w:szCs w:val="22"/>
        </w:rPr>
        <w:t>Annual</w:t>
      </w:r>
      <w:r w:rsidRPr="00E82BA8">
        <w:rPr>
          <w:rFonts w:asciiTheme="minorHAnsi" w:eastAsia="Arial" w:hAnsiTheme="minorHAnsi" w:cs="Arial"/>
          <w:color w:val="131313"/>
          <w:spacing w:val="26"/>
          <w:szCs w:val="22"/>
        </w:rPr>
        <w:t xml:space="preserve"> </w:t>
      </w:r>
      <w:r w:rsidRPr="00E82BA8">
        <w:rPr>
          <w:rFonts w:asciiTheme="minorHAnsi" w:eastAsia="Arial" w:hAnsiTheme="minorHAnsi" w:cs="Arial"/>
          <w:color w:val="131313"/>
          <w:w w:val="104"/>
          <w:szCs w:val="22"/>
        </w:rPr>
        <w:t>Report</w:t>
      </w:r>
      <w:r w:rsidRPr="006151CD">
        <w:rPr>
          <w:rFonts w:asciiTheme="minorHAnsi" w:eastAsia="Arial" w:hAnsiTheme="minorHAnsi" w:cs="Arial"/>
          <w:color w:val="131313"/>
          <w:w w:val="104"/>
          <w:sz w:val="20"/>
        </w:rPr>
        <w:t>.</w:t>
      </w:r>
      <w:r>
        <w:rPr>
          <w:rFonts w:asciiTheme="minorHAnsi" w:eastAsia="Arial" w:hAnsiTheme="minorHAnsi" w:cs="Arial"/>
          <w:color w:val="131313"/>
          <w:w w:val="104"/>
          <w:sz w:val="20"/>
        </w:rPr>
        <w:t xml:space="preserve"> </w:t>
      </w:r>
      <w:r w:rsidR="007861CA">
        <w:rPr>
          <w:rFonts w:asciiTheme="minorHAnsi" w:eastAsia="Arial" w:hAnsiTheme="minorHAnsi" w:cs="Arial"/>
          <w:color w:val="131313"/>
          <w:w w:val="104"/>
          <w:sz w:val="20"/>
        </w:rPr>
        <w:br/>
      </w:r>
    </w:p>
    <w:p w:rsidR="001C0CB2" w:rsidRPr="003E359F" w:rsidRDefault="001C0CB2" w:rsidP="00AF3304">
      <w:pPr>
        <w:spacing w:before="60" w:after="60"/>
        <w:ind w:left="709" w:hanging="709"/>
        <w:jc w:val="both"/>
        <w:rPr>
          <w:rFonts w:asciiTheme="minorHAnsi" w:hAnsiTheme="minorHAnsi"/>
          <w:b/>
          <w:i/>
          <w:szCs w:val="22"/>
        </w:rPr>
      </w:pPr>
      <w:r w:rsidRPr="003E359F">
        <w:rPr>
          <w:rFonts w:asciiTheme="minorHAnsi" w:eastAsia="Arial" w:hAnsiTheme="minorHAnsi" w:cs="Arial"/>
          <w:b/>
          <w:i/>
          <w:color w:val="131313"/>
          <w:w w:val="104"/>
          <w:sz w:val="20"/>
        </w:rPr>
        <w:t>Governance Statement</w:t>
      </w:r>
    </w:p>
    <w:p w:rsidR="001C0CB2" w:rsidRPr="008C6F1C" w:rsidRDefault="001C0CB2" w:rsidP="007861CA">
      <w:pPr>
        <w:numPr>
          <w:ilvl w:val="0"/>
          <w:numId w:val="18"/>
        </w:numPr>
        <w:spacing w:before="60" w:after="60"/>
        <w:ind w:left="709" w:hanging="709"/>
        <w:rPr>
          <w:rFonts w:asciiTheme="minorHAnsi" w:hAnsiTheme="minorHAnsi"/>
          <w:szCs w:val="22"/>
        </w:rPr>
      </w:pPr>
      <w:r w:rsidRPr="00331775">
        <w:rPr>
          <w:rFonts w:asciiTheme="minorHAnsi" w:hAnsiTheme="minorHAnsi"/>
          <w:szCs w:val="22"/>
        </w:rPr>
        <w:t>We will also review the Governance Statement to ensure it has been prepared in accordance</w:t>
      </w:r>
      <w:r w:rsidR="00126C3B">
        <w:rPr>
          <w:rFonts w:asciiTheme="minorHAnsi" w:hAnsiTheme="minorHAnsi"/>
          <w:szCs w:val="22"/>
        </w:rPr>
        <w:t xml:space="preserve"> with Department of Finance</w:t>
      </w:r>
      <w:r w:rsidRPr="00331775">
        <w:rPr>
          <w:rFonts w:asciiTheme="minorHAnsi" w:hAnsiTheme="minorHAnsi"/>
          <w:szCs w:val="22"/>
        </w:rPr>
        <w:t xml:space="preserve"> guidance</w:t>
      </w:r>
      <w:r>
        <w:rPr>
          <w:rFonts w:asciiTheme="minorHAnsi" w:hAnsiTheme="minorHAnsi"/>
          <w:szCs w:val="22"/>
        </w:rPr>
        <w:t xml:space="preserve">, including </w:t>
      </w:r>
      <w:r w:rsidRPr="003E359F">
        <w:rPr>
          <w:rFonts w:asciiTheme="minorHAnsi" w:hAnsiTheme="minorHAnsi"/>
          <w:i/>
          <w:szCs w:val="22"/>
        </w:rPr>
        <w:t>Managing Public Money Northern Ireland</w:t>
      </w:r>
      <w:r w:rsidR="00572C4E">
        <w:rPr>
          <w:rFonts w:asciiTheme="minorHAnsi" w:hAnsiTheme="minorHAnsi"/>
          <w:i/>
          <w:szCs w:val="22"/>
        </w:rPr>
        <w:t>,</w:t>
      </w:r>
      <w:r w:rsidRPr="00331775">
        <w:rPr>
          <w:rFonts w:asciiTheme="minorHAnsi" w:hAnsiTheme="minorHAnsi"/>
          <w:szCs w:val="22"/>
        </w:rPr>
        <w:t xml:space="preserve"> and that the statement fairly reflects our understanding of the state of internal control systems within the entity during the year. </w:t>
      </w:r>
      <w:r w:rsidR="007861CA">
        <w:rPr>
          <w:rFonts w:asciiTheme="minorHAnsi" w:hAnsiTheme="minorHAnsi"/>
          <w:szCs w:val="22"/>
        </w:rPr>
        <w:br/>
      </w:r>
    </w:p>
    <w:p w:rsidR="001C0CB2" w:rsidRPr="00CB6644" w:rsidRDefault="001C0CB2" w:rsidP="00AF3304">
      <w:pPr>
        <w:pStyle w:val="Heading3"/>
        <w:spacing w:before="60" w:after="60"/>
        <w:ind w:left="709" w:hanging="709"/>
        <w:jc w:val="both"/>
        <w:rPr>
          <w:rFonts w:asciiTheme="minorHAnsi" w:hAnsiTheme="minorHAnsi"/>
          <w:color w:val="17365D" w:themeColor="text2" w:themeShade="BF"/>
          <w:szCs w:val="22"/>
        </w:rPr>
      </w:pPr>
      <w:r w:rsidRPr="0041695E">
        <w:rPr>
          <w:rFonts w:asciiTheme="minorHAnsi" w:hAnsiTheme="minorHAnsi"/>
          <w:color w:val="17365D" w:themeColor="text2" w:themeShade="BF"/>
          <w:szCs w:val="22"/>
        </w:rPr>
        <w:t xml:space="preserve">Respective Responsibilities </w:t>
      </w:r>
    </w:p>
    <w:p w:rsidR="001C0CB2" w:rsidRPr="00E31953" w:rsidRDefault="001C0CB2" w:rsidP="007861CA">
      <w:pPr>
        <w:pStyle w:val="Heading3"/>
        <w:keepLines w:val="0"/>
        <w:numPr>
          <w:ilvl w:val="0"/>
          <w:numId w:val="18"/>
        </w:numPr>
        <w:spacing w:before="60" w:after="60"/>
        <w:ind w:left="709" w:hanging="709"/>
        <w:rPr>
          <w:rFonts w:asciiTheme="minorHAnsi" w:hAnsiTheme="minorHAnsi"/>
          <w:b w:val="0"/>
          <w:color w:val="auto"/>
          <w:szCs w:val="22"/>
        </w:rPr>
      </w:pPr>
      <w:r w:rsidRPr="00E31953">
        <w:rPr>
          <w:rFonts w:asciiTheme="minorHAnsi" w:hAnsiTheme="minorHAnsi"/>
          <w:b w:val="0"/>
          <w:color w:val="auto"/>
          <w:szCs w:val="22"/>
        </w:rPr>
        <w:t xml:space="preserve">In </w:t>
      </w:r>
      <w:r w:rsidRPr="007861CA">
        <w:rPr>
          <w:rFonts w:asciiTheme="minorHAnsi" w:hAnsiTheme="minorHAnsi"/>
          <w:b w:val="0"/>
          <w:color w:val="auto"/>
          <w:szCs w:val="22"/>
        </w:rPr>
        <w:t xml:space="preserve">line with Auditing Standards we are required to agree the respective responsibilities of the C&amp;AG, </w:t>
      </w:r>
      <w:r w:rsidR="007861CA" w:rsidRPr="007861CA">
        <w:rPr>
          <w:rFonts w:asciiTheme="minorHAnsi" w:hAnsiTheme="minorHAnsi"/>
          <w:b w:val="0"/>
          <w:color w:val="auto"/>
          <w:szCs w:val="22"/>
        </w:rPr>
        <w:t>the audited body’s</w:t>
      </w:r>
      <w:r w:rsidRPr="007861CA">
        <w:rPr>
          <w:rFonts w:asciiTheme="minorHAnsi" w:hAnsiTheme="minorHAnsi"/>
          <w:b w:val="0"/>
          <w:color w:val="auto"/>
          <w:szCs w:val="22"/>
        </w:rPr>
        <w:t xml:space="preserve"> Accounting Officer and the NIAO. These responsibilities are set </w:t>
      </w:r>
      <w:r w:rsidRPr="007861CA">
        <w:rPr>
          <w:rFonts w:asciiTheme="minorHAnsi" w:hAnsiTheme="minorHAnsi"/>
          <w:b w:val="0"/>
          <w:color w:val="auto"/>
          <w:szCs w:val="22"/>
        </w:rPr>
        <w:lastRenderedPageBreak/>
        <w:t>out in the Letter of Understanding/Engagement.</w:t>
      </w:r>
      <w:r w:rsidR="007861CA">
        <w:rPr>
          <w:rFonts w:asciiTheme="minorHAnsi" w:hAnsiTheme="minorHAnsi"/>
          <w:b w:val="0"/>
          <w:color w:val="auto"/>
          <w:szCs w:val="22"/>
        </w:rPr>
        <w:br/>
      </w:r>
    </w:p>
    <w:p w:rsidR="001C0CB2" w:rsidRPr="00E31953" w:rsidRDefault="001C0CB2" w:rsidP="007861CA">
      <w:pPr>
        <w:numPr>
          <w:ilvl w:val="0"/>
          <w:numId w:val="18"/>
        </w:numPr>
        <w:spacing w:before="60" w:after="60"/>
        <w:ind w:left="709" w:hanging="709"/>
        <w:rPr>
          <w:rFonts w:asciiTheme="minorHAnsi" w:hAnsiTheme="minorHAnsi"/>
          <w:szCs w:val="22"/>
        </w:rPr>
      </w:pPr>
      <w:r w:rsidRPr="00E31953">
        <w:rPr>
          <w:rFonts w:asciiTheme="minorHAnsi" w:hAnsiTheme="minorHAnsi"/>
          <w:szCs w:val="22"/>
        </w:rPr>
        <w:t>The audit of the financial statements does not relieve management or those charged with governance of their responsibilities.</w:t>
      </w:r>
      <w:r w:rsidR="007861CA">
        <w:rPr>
          <w:rFonts w:asciiTheme="minorHAnsi" w:hAnsiTheme="minorHAnsi"/>
          <w:szCs w:val="22"/>
        </w:rPr>
        <w:br/>
      </w:r>
    </w:p>
    <w:p w:rsidR="001C0CB2" w:rsidRPr="00453F48" w:rsidRDefault="001C0CB2" w:rsidP="00AF3304">
      <w:pPr>
        <w:spacing w:before="60" w:after="60"/>
        <w:ind w:left="709" w:hanging="709"/>
        <w:jc w:val="both"/>
        <w:rPr>
          <w:rFonts w:asciiTheme="minorHAnsi" w:hAnsiTheme="minorHAnsi"/>
          <w:b/>
          <w:color w:val="17365D" w:themeColor="text2" w:themeShade="BF"/>
          <w:szCs w:val="22"/>
        </w:rPr>
      </w:pPr>
      <w:r w:rsidRPr="00453F48">
        <w:rPr>
          <w:rFonts w:asciiTheme="minorHAnsi" w:hAnsiTheme="minorHAnsi"/>
          <w:b/>
          <w:color w:val="17365D" w:themeColor="text2" w:themeShade="BF"/>
          <w:szCs w:val="22"/>
        </w:rPr>
        <w:t>Preparation of the financial statements</w:t>
      </w:r>
    </w:p>
    <w:p w:rsidR="001C0CB2" w:rsidRPr="00E31953" w:rsidRDefault="001C0CB2" w:rsidP="007861CA">
      <w:pPr>
        <w:numPr>
          <w:ilvl w:val="0"/>
          <w:numId w:val="18"/>
        </w:numPr>
        <w:spacing w:before="60" w:after="60"/>
        <w:ind w:left="709" w:hanging="709"/>
        <w:rPr>
          <w:rFonts w:asciiTheme="minorHAnsi" w:hAnsiTheme="minorHAnsi"/>
          <w:szCs w:val="22"/>
        </w:rPr>
      </w:pPr>
      <w:r w:rsidRPr="00E31953">
        <w:rPr>
          <w:rFonts w:asciiTheme="minorHAnsi" w:hAnsiTheme="minorHAnsi"/>
          <w:szCs w:val="22"/>
        </w:rPr>
        <w:t>The primary responsibility for the preparation of the financial statements and the regularity of fi</w:t>
      </w:r>
      <w:r w:rsidR="007861CA">
        <w:rPr>
          <w:rFonts w:asciiTheme="minorHAnsi" w:hAnsiTheme="minorHAnsi"/>
          <w:szCs w:val="22"/>
        </w:rPr>
        <w:t>nancial transactions lies with the audited body</w:t>
      </w:r>
      <w:r w:rsidRPr="00E31953">
        <w:rPr>
          <w:rFonts w:asciiTheme="minorHAnsi" w:hAnsiTheme="minorHAnsi"/>
          <w:szCs w:val="22"/>
        </w:rPr>
        <w:t xml:space="preserve">.  </w:t>
      </w:r>
      <w:r w:rsidR="007861CA">
        <w:rPr>
          <w:rFonts w:asciiTheme="minorHAnsi" w:hAnsiTheme="minorHAnsi"/>
          <w:szCs w:val="22"/>
        </w:rPr>
        <w:br/>
      </w:r>
    </w:p>
    <w:p w:rsidR="001C0CB2" w:rsidRPr="00E31953" w:rsidRDefault="001C0CB2" w:rsidP="007861CA">
      <w:pPr>
        <w:numPr>
          <w:ilvl w:val="0"/>
          <w:numId w:val="18"/>
        </w:numPr>
        <w:spacing w:before="60" w:after="60"/>
        <w:ind w:left="709" w:hanging="709"/>
        <w:rPr>
          <w:rFonts w:asciiTheme="minorHAnsi" w:hAnsiTheme="minorHAnsi"/>
          <w:szCs w:val="22"/>
        </w:rPr>
      </w:pPr>
      <w:r w:rsidRPr="00E31953">
        <w:rPr>
          <w:rFonts w:asciiTheme="minorHAnsi" w:hAnsiTheme="minorHAnsi"/>
          <w:szCs w:val="22"/>
        </w:rPr>
        <w:t xml:space="preserve">The financial statements should be prepared in accordance </w:t>
      </w:r>
      <w:r w:rsidRPr="007861CA">
        <w:rPr>
          <w:rFonts w:asciiTheme="minorHAnsi" w:hAnsiTheme="minorHAnsi"/>
          <w:szCs w:val="22"/>
        </w:rPr>
        <w:t>with the Financial Repo</w:t>
      </w:r>
      <w:r w:rsidR="007861CA" w:rsidRPr="007861CA">
        <w:rPr>
          <w:rFonts w:asciiTheme="minorHAnsi" w:hAnsiTheme="minorHAnsi"/>
          <w:szCs w:val="22"/>
        </w:rPr>
        <w:t>rting Manual (FReM)/Statement of Recommended Practice (SORP)/other</w:t>
      </w:r>
      <w:r w:rsidRPr="007861CA">
        <w:rPr>
          <w:rFonts w:asciiTheme="minorHAnsi" w:hAnsiTheme="minorHAnsi"/>
          <w:szCs w:val="22"/>
        </w:rPr>
        <w:t>.</w:t>
      </w:r>
      <w:r w:rsidRPr="00E31953">
        <w:rPr>
          <w:rFonts w:asciiTheme="minorHAnsi" w:hAnsiTheme="minorHAnsi"/>
          <w:szCs w:val="22"/>
        </w:rPr>
        <w:t xml:space="preserve"> </w:t>
      </w:r>
      <w:r w:rsidR="007861CA">
        <w:rPr>
          <w:rFonts w:asciiTheme="minorHAnsi" w:hAnsiTheme="minorHAnsi"/>
          <w:szCs w:val="22"/>
        </w:rPr>
        <w:br/>
      </w:r>
    </w:p>
    <w:p w:rsidR="001C0CB2" w:rsidRPr="00453F48" w:rsidRDefault="001C0CB2" w:rsidP="00AF3304">
      <w:pPr>
        <w:pStyle w:val="Heading3"/>
        <w:spacing w:before="60" w:after="60"/>
        <w:ind w:left="709" w:hanging="709"/>
        <w:jc w:val="both"/>
        <w:rPr>
          <w:rFonts w:asciiTheme="minorHAnsi" w:hAnsiTheme="minorHAnsi"/>
          <w:color w:val="17365D" w:themeColor="text2" w:themeShade="BF"/>
          <w:szCs w:val="22"/>
        </w:rPr>
      </w:pPr>
      <w:r>
        <w:rPr>
          <w:rFonts w:asciiTheme="minorHAnsi" w:hAnsiTheme="minorHAnsi"/>
          <w:color w:val="17365D" w:themeColor="text2" w:themeShade="BF"/>
          <w:szCs w:val="22"/>
        </w:rPr>
        <w:t>Supporting Records</w:t>
      </w:r>
    </w:p>
    <w:p w:rsidR="00BF62AF" w:rsidRDefault="001C0CB2" w:rsidP="007861CA">
      <w:pPr>
        <w:numPr>
          <w:ilvl w:val="0"/>
          <w:numId w:val="18"/>
        </w:numPr>
        <w:spacing w:before="60" w:after="60"/>
        <w:ind w:left="709" w:hanging="709"/>
        <w:rPr>
          <w:rFonts w:asciiTheme="minorHAnsi" w:hAnsiTheme="minorHAnsi"/>
          <w:szCs w:val="22"/>
        </w:rPr>
      </w:pPr>
      <w:r w:rsidRPr="00D648B8">
        <w:rPr>
          <w:rFonts w:asciiTheme="minorHAnsi" w:hAnsiTheme="minorHAnsi"/>
          <w:szCs w:val="22"/>
        </w:rPr>
        <w:t>All relevant general ledger transactions should be processed to allow trial balances to be made available for audit purposes with the draft financial statements. Any amendments made to the trial balances after the close of books should be discussed with NIAO staff and supported by an approved journal and any other underlying documentation. Further adjustments may be required as a result of our audit findings.</w:t>
      </w:r>
      <w:r w:rsidR="007861CA">
        <w:rPr>
          <w:rFonts w:asciiTheme="minorHAnsi" w:hAnsiTheme="minorHAnsi"/>
          <w:szCs w:val="22"/>
        </w:rPr>
        <w:br/>
      </w:r>
    </w:p>
    <w:p w:rsidR="00BF62AF" w:rsidRDefault="001C0CB2" w:rsidP="00B96BEF">
      <w:pPr>
        <w:numPr>
          <w:ilvl w:val="0"/>
          <w:numId w:val="18"/>
        </w:numPr>
        <w:spacing w:before="60" w:after="60"/>
        <w:ind w:left="709" w:hanging="709"/>
        <w:rPr>
          <w:rFonts w:asciiTheme="minorHAnsi" w:hAnsiTheme="minorHAnsi"/>
          <w:szCs w:val="22"/>
        </w:rPr>
      </w:pPr>
      <w:r w:rsidRPr="00BF62AF">
        <w:rPr>
          <w:rFonts w:asciiTheme="minorHAnsi" w:hAnsiTheme="minorHAnsi"/>
          <w:szCs w:val="22"/>
        </w:rPr>
        <w:t>We will require access to schedules and documentation which support the figures and disclosures within the financial statements, and we would expect the draft account to have been subject to appropriate management review prior to submission for audit. A list summarising the key items of audit information required and the dates that we need them</w:t>
      </w:r>
      <w:r w:rsidR="00BD2974" w:rsidRPr="00BF62AF">
        <w:rPr>
          <w:rFonts w:asciiTheme="minorHAnsi" w:hAnsiTheme="minorHAnsi"/>
          <w:szCs w:val="22"/>
        </w:rPr>
        <w:t xml:space="preserve"> for</w:t>
      </w:r>
      <w:r w:rsidRPr="00BF62AF">
        <w:rPr>
          <w:rFonts w:asciiTheme="minorHAnsi" w:hAnsiTheme="minorHAnsi"/>
          <w:szCs w:val="22"/>
        </w:rPr>
        <w:t xml:space="preserve"> will be agreed with the </w:t>
      </w:r>
      <w:r w:rsidRPr="00BF62AF">
        <w:rPr>
          <w:rFonts w:asciiTheme="minorHAnsi" w:hAnsiTheme="minorHAnsi" w:cs="Arial"/>
          <w:szCs w:val="22"/>
        </w:rPr>
        <w:t>finance team prior to each audit visit.</w:t>
      </w:r>
      <w:r w:rsidRPr="00BF62AF">
        <w:rPr>
          <w:rFonts w:asciiTheme="minorHAnsi" w:hAnsiTheme="minorHAnsi"/>
          <w:szCs w:val="22"/>
        </w:rPr>
        <w:t xml:space="preserve">  </w:t>
      </w:r>
      <w:r w:rsidR="007861CA">
        <w:rPr>
          <w:rFonts w:asciiTheme="minorHAnsi" w:hAnsiTheme="minorHAnsi"/>
          <w:szCs w:val="22"/>
        </w:rPr>
        <w:br/>
      </w:r>
    </w:p>
    <w:p w:rsidR="00BF62AF" w:rsidRPr="00BF62AF" w:rsidRDefault="001C0CB2" w:rsidP="00B96BEF">
      <w:pPr>
        <w:numPr>
          <w:ilvl w:val="0"/>
          <w:numId w:val="18"/>
        </w:numPr>
        <w:spacing w:before="60" w:after="60"/>
        <w:ind w:left="709" w:hanging="709"/>
        <w:rPr>
          <w:rFonts w:asciiTheme="minorHAnsi" w:hAnsiTheme="minorHAnsi"/>
          <w:szCs w:val="22"/>
        </w:rPr>
      </w:pPr>
      <w:r w:rsidRPr="00BF62AF">
        <w:rPr>
          <w:rFonts w:asciiTheme="minorHAnsi" w:hAnsiTheme="minorHAnsi" w:cs="Arial"/>
          <w:szCs w:val="22"/>
        </w:rPr>
        <w:t xml:space="preserve">We </w:t>
      </w:r>
      <w:r w:rsidRPr="00B96BEF">
        <w:rPr>
          <w:rFonts w:asciiTheme="minorHAnsi" w:hAnsiTheme="minorHAnsi" w:cs="Arial"/>
          <w:szCs w:val="22"/>
        </w:rPr>
        <w:t>will verify that the submitted financial statements and their</w:t>
      </w:r>
      <w:r w:rsidR="00B96BEF" w:rsidRPr="00B96BEF">
        <w:rPr>
          <w:rFonts w:asciiTheme="minorHAnsi" w:hAnsiTheme="minorHAnsi" w:cs="Arial"/>
          <w:szCs w:val="22"/>
        </w:rPr>
        <w:t xml:space="preserve"> supporting schedules have been </w:t>
      </w:r>
      <w:r w:rsidRPr="00B96BEF">
        <w:rPr>
          <w:rFonts w:asciiTheme="minorHAnsi" w:hAnsiTheme="minorHAnsi" w:cs="Arial"/>
          <w:szCs w:val="22"/>
        </w:rPr>
        <w:t>subject to a detailed management review. We recommend that the financial statements are reviewed agai</w:t>
      </w:r>
      <w:r w:rsidR="00B96BEF" w:rsidRPr="00B96BEF">
        <w:rPr>
          <w:rFonts w:asciiTheme="minorHAnsi" w:hAnsiTheme="minorHAnsi" w:cs="Arial"/>
          <w:szCs w:val="22"/>
        </w:rPr>
        <w:t xml:space="preserve">nst the NIAO </w:t>
      </w:r>
      <w:r w:rsidRPr="00B96BEF">
        <w:rPr>
          <w:rFonts w:asciiTheme="minorHAnsi" w:hAnsiTheme="minorHAnsi" w:cs="Arial"/>
          <w:szCs w:val="22"/>
        </w:rPr>
        <w:t>Disclosu</w:t>
      </w:r>
      <w:r w:rsidR="00B96BEF" w:rsidRPr="00B96BEF">
        <w:rPr>
          <w:rFonts w:asciiTheme="minorHAnsi" w:hAnsiTheme="minorHAnsi" w:cs="Arial"/>
          <w:szCs w:val="22"/>
        </w:rPr>
        <w:t xml:space="preserve">re Guide and the NIAO </w:t>
      </w:r>
      <w:r w:rsidRPr="00B96BEF">
        <w:rPr>
          <w:rFonts w:asciiTheme="minorHAnsi" w:hAnsiTheme="minorHAnsi" w:cs="Arial"/>
          <w:szCs w:val="22"/>
        </w:rPr>
        <w:t>Hot Review Checklist prior to submission for audit. These will be provided to the finance team</w:t>
      </w:r>
      <w:r w:rsidRPr="00B96BEF">
        <w:rPr>
          <w:rFonts w:asciiTheme="minorHAnsi" w:hAnsiTheme="minorHAnsi"/>
          <w:szCs w:val="22"/>
        </w:rPr>
        <w:t xml:space="preserve"> upon request</w:t>
      </w:r>
      <w:r w:rsidR="00B96BEF" w:rsidRPr="00B96BEF">
        <w:rPr>
          <w:rFonts w:asciiTheme="minorHAnsi" w:hAnsiTheme="minorHAnsi" w:cs="Arial"/>
          <w:szCs w:val="22"/>
        </w:rPr>
        <w:t>.</w:t>
      </w:r>
      <w:r w:rsidR="00B96BEF">
        <w:rPr>
          <w:rFonts w:asciiTheme="minorHAnsi" w:hAnsiTheme="minorHAnsi" w:cs="Arial"/>
          <w:szCs w:val="22"/>
        </w:rPr>
        <w:br/>
      </w:r>
    </w:p>
    <w:p w:rsidR="00BF62AF" w:rsidRPr="00BF62AF" w:rsidRDefault="00BF62AF" w:rsidP="00BF62AF">
      <w:pPr>
        <w:spacing w:before="60" w:after="60"/>
        <w:jc w:val="both"/>
        <w:rPr>
          <w:rFonts w:asciiTheme="minorHAnsi" w:hAnsiTheme="minorHAnsi"/>
          <w:b/>
          <w:color w:val="17365D" w:themeColor="text2" w:themeShade="BF"/>
          <w:szCs w:val="22"/>
        </w:rPr>
      </w:pPr>
      <w:r w:rsidRPr="00BF62AF">
        <w:rPr>
          <w:rFonts w:asciiTheme="minorHAnsi" w:hAnsiTheme="minorHAnsi" w:cs="Arial"/>
          <w:b/>
          <w:color w:val="17365D" w:themeColor="text2" w:themeShade="BF"/>
          <w:szCs w:val="22"/>
        </w:rPr>
        <w:t>Fraud</w:t>
      </w:r>
    </w:p>
    <w:p w:rsidR="00BF62AF" w:rsidRDefault="001C0CB2" w:rsidP="00B96BEF">
      <w:pPr>
        <w:numPr>
          <w:ilvl w:val="0"/>
          <w:numId w:val="18"/>
        </w:numPr>
        <w:spacing w:before="60" w:after="60"/>
        <w:ind w:left="709" w:hanging="709"/>
        <w:rPr>
          <w:rFonts w:asciiTheme="minorHAnsi" w:hAnsiTheme="minorHAnsi"/>
          <w:szCs w:val="22"/>
        </w:rPr>
      </w:pPr>
      <w:r w:rsidRPr="00BF62AF">
        <w:rPr>
          <w:rFonts w:asciiTheme="minorHAnsi" w:hAnsiTheme="minorHAnsi"/>
          <w:szCs w:val="22"/>
        </w:rPr>
        <w:t xml:space="preserve">The primary responsibility for the detection of fraud rests with management. Their role in the detection of fraud is an extension of their role in preventing fraudulent activity. The Accounting Officer is responsible for establishing a sound system of internal control designed to support the achievement of departmental policies, aims and objectives and to manage the risks facing the organisation; this includes the risk of fraud. </w:t>
      </w:r>
      <w:r w:rsidR="00B96BEF">
        <w:rPr>
          <w:rFonts w:asciiTheme="minorHAnsi" w:hAnsiTheme="minorHAnsi"/>
          <w:szCs w:val="22"/>
        </w:rPr>
        <w:br/>
      </w:r>
    </w:p>
    <w:p w:rsidR="00BF62AF" w:rsidRDefault="001C0CB2" w:rsidP="00B96BEF">
      <w:pPr>
        <w:numPr>
          <w:ilvl w:val="0"/>
          <w:numId w:val="18"/>
        </w:numPr>
        <w:spacing w:before="60" w:after="60"/>
        <w:ind w:left="709" w:hanging="709"/>
        <w:rPr>
          <w:rFonts w:asciiTheme="minorHAnsi" w:hAnsiTheme="minorHAnsi"/>
          <w:szCs w:val="22"/>
        </w:rPr>
      </w:pPr>
      <w:r w:rsidRPr="00BF62AF">
        <w:rPr>
          <w:rFonts w:asciiTheme="minorHAnsi" w:hAnsiTheme="minorHAnsi"/>
          <w:szCs w:val="22"/>
        </w:rPr>
        <w:t>Our audit is designed to provide reasonable assurance that the financial statements (as a whole) are free from material misstatement, whether caused by fraud or error. We are not responsible for preventing fraud or corruption, although our audit may serve to act as a deterrent.</w:t>
      </w:r>
      <w:r w:rsidR="00B96BEF">
        <w:rPr>
          <w:rFonts w:asciiTheme="minorHAnsi" w:hAnsiTheme="minorHAnsi"/>
          <w:szCs w:val="22"/>
        </w:rPr>
        <w:br/>
      </w:r>
    </w:p>
    <w:p w:rsidR="001C0CB2" w:rsidRPr="00BF62AF" w:rsidRDefault="001C0CB2" w:rsidP="00BF62AF">
      <w:pPr>
        <w:numPr>
          <w:ilvl w:val="0"/>
          <w:numId w:val="18"/>
        </w:numPr>
        <w:spacing w:before="60" w:after="60"/>
        <w:ind w:left="709" w:hanging="709"/>
        <w:jc w:val="both"/>
        <w:rPr>
          <w:rFonts w:asciiTheme="minorHAnsi" w:hAnsiTheme="minorHAnsi"/>
          <w:szCs w:val="22"/>
        </w:rPr>
      </w:pPr>
      <w:r w:rsidRPr="00BF62AF">
        <w:rPr>
          <w:rFonts w:asciiTheme="minorHAnsi" w:hAnsiTheme="minorHAnsi"/>
          <w:szCs w:val="22"/>
        </w:rPr>
        <w:t>We are required to make inquiries of those charged with governance in respect of your oversight responsibility for:</w:t>
      </w:r>
    </w:p>
    <w:p w:rsidR="001C0CB2" w:rsidRPr="002404CB" w:rsidRDefault="00B96BEF" w:rsidP="00AF3304">
      <w:pPr>
        <w:pStyle w:val="MainTextNumbered"/>
        <w:numPr>
          <w:ilvl w:val="0"/>
          <w:numId w:val="30"/>
        </w:numPr>
        <w:tabs>
          <w:tab w:val="clear" w:pos="454"/>
          <w:tab w:val="left" w:pos="1276"/>
        </w:tabs>
        <w:ind w:left="1276" w:hanging="567"/>
        <w:rPr>
          <w:rFonts w:asciiTheme="minorHAnsi" w:hAnsiTheme="minorHAnsi"/>
          <w:sz w:val="22"/>
          <w:szCs w:val="22"/>
        </w:rPr>
      </w:pPr>
      <w:r>
        <w:rPr>
          <w:rFonts w:asciiTheme="minorHAnsi" w:hAnsiTheme="minorHAnsi"/>
          <w:sz w:val="22"/>
          <w:szCs w:val="22"/>
        </w:rPr>
        <w:t>m</w:t>
      </w:r>
      <w:r w:rsidR="001C0CB2" w:rsidRPr="002404CB">
        <w:rPr>
          <w:rFonts w:asciiTheme="minorHAnsi" w:hAnsiTheme="minorHAnsi"/>
          <w:sz w:val="22"/>
          <w:szCs w:val="22"/>
        </w:rPr>
        <w:t xml:space="preserve">anagement’s assessment of the risk that the financial statements may be materially misstated owing to fraud, including the nature, extent and frequency of such assessments; </w:t>
      </w:r>
    </w:p>
    <w:p w:rsidR="001C0CB2" w:rsidRPr="002404CB" w:rsidRDefault="00B96BEF" w:rsidP="00AF3304">
      <w:pPr>
        <w:pStyle w:val="MainTextNumbered"/>
        <w:numPr>
          <w:ilvl w:val="0"/>
          <w:numId w:val="30"/>
        </w:numPr>
        <w:tabs>
          <w:tab w:val="clear" w:pos="454"/>
          <w:tab w:val="left" w:pos="1276"/>
        </w:tabs>
        <w:ind w:left="1276" w:hanging="567"/>
        <w:rPr>
          <w:rFonts w:asciiTheme="minorHAnsi" w:hAnsiTheme="minorHAnsi"/>
          <w:sz w:val="22"/>
          <w:szCs w:val="22"/>
        </w:rPr>
      </w:pPr>
      <w:r>
        <w:rPr>
          <w:rFonts w:asciiTheme="minorHAnsi" w:hAnsiTheme="minorHAnsi"/>
          <w:sz w:val="22"/>
          <w:szCs w:val="22"/>
        </w:rPr>
        <w:lastRenderedPageBreak/>
        <w:t>m</w:t>
      </w:r>
      <w:r w:rsidR="001C0CB2" w:rsidRPr="002404CB">
        <w:rPr>
          <w:rFonts w:asciiTheme="minorHAnsi" w:hAnsiTheme="minorHAnsi"/>
          <w:sz w:val="22"/>
          <w:szCs w:val="22"/>
        </w:rPr>
        <w:t xml:space="preserve">anagement’s process for identifying and responding to the risks of fraud, including any specific risks of fraud that management has identified or that has been brought to its attention; </w:t>
      </w:r>
    </w:p>
    <w:p w:rsidR="001C0CB2" w:rsidRPr="002404CB" w:rsidRDefault="00B96BEF" w:rsidP="00AF3304">
      <w:pPr>
        <w:pStyle w:val="MainTextNumbered"/>
        <w:numPr>
          <w:ilvl w:val="0"/>
          <w:numId w:val="30"/>
        </w:numPr>
        <w:tabs>
          <w:tab w:val="clear" w:pos="454"/>
          <w:tab w:val="left" w:pos="1276"/>
        </w:tabs>
        <w:ind w:left="1276" w:hanging="567"/>
        <w:rPr>
          <w:rFonts w:asciiTheme="minorHAnsi" w:hAnsiTheme="minorHAnsi"/>
          <w:sz w:val="22"/>
          <w:szCs w:val="22"/>
        </w:rPr>
      </w:pPr>
      <w:r>
        <w:rPr>
          <w:rFonts w:asciiTheme="minorHAnsi" w:hAnsiTheme="minorHAnsi"/>
          <w:sz w:val="22"/>
          <w:szCs w:val="22"/>
        </w:rPr>
        <w:t>m</w:t>
      </w:r>
      <w:r w:rsidR="001C0CB2" w:rsidRPr="002404CB">
        <w:rPr>
          <w:rFonts w:asciiTheme="minorHAnsi" w:hAnsiTheme="minorHAnsi"/>
          <w:sz w:val="22"/>
          <w:szCs w:val="22"/>
        </w:rPr>
        <w:t xml:space="preserve">anagement’s communication to the Audit Committee (and others charged with governance) on its processes for identifying and responding to the risks of fraud; </w:t>
      </w:r>
      <w:r w:rsidR="00572C4E">
        <w:rPr>
          <w:rFonts w:asciiTheme="minorHAnsi" w:hAnsiTheme="minorHAnsi"/>
          <w:sz w:val="22"/>
          <w:szCs w:val="22"/>
        </w:rPr>
        <w:t>and</w:t>
      </w:r>
    </w:p>
    <w:p w:rsidR="001C0CB2" w:rsidRPr="00572C4E" w:rsidRDefault="00B96BEF" w:rsidP="00572C4E">
      <w:pPr>
        <w:pStyle w:val="MainTextNumbered"/>
        <w:numPr>
          <w:ilvl w:val="0"/>
          <w:numId w:val="30"/>
        </w:numPr>
        <w:tabs>
          <w:tab w:val="clear" w:pos="454"/>
          <w:tab w:val="left" w:pos="1276"/>
        </w:tabs>
        <w:ind w:left="1276" w:hanging="567"/>
        <w:rPr>
          <w:rFonts w:asciiTheme="minorHAnsi" w:hAnsiTheme="minorHAnsi"/>
          <w:sz w:val="22"/>
          <w:szCs w:val="22"/>
        </w:rPr>
      </w:pPr>
      <w:r>
        <w:rPr>
          <w:rFonts w:asciiTheme="minorHAnsi" w:hAnsiTheme="minorHAnsi"/>
          <w:sz w:val="22"/>
          <w:szCs w:val="22"/>
        </w:rPr>
        <w:t>m</w:t>
      </w:r>
      <w:r w:rsidR="001C0CB2" w:rsidRPr="002404CB">
        <w:rPr>
          <w:rFonts w:asciiTheme="minorHAnsi" w:hAnsiTheme="minorHAnsi"/>
          <w:sz w:val="22"/>
          <w:szCs w:val="22"/>
        </w:rPr>
        <w:t>anagement’s communication, if any, to its employees on its views about business pract</w:t>
      </w:r>
      <w:r w:rsidR="00572C4E">
        <w:rPr>
          <w:rFonts w:asciiTheme="minorHAnsi" w:hAnsiTheme="minorHAnsi"/>
          <w:sz w:val="22"/>
          <w:szCs w:val="22"/>
        </w:rPr>
        <w:t>ices and ethical behaviour.</w:t>
      </w:r>
      <w:r w:rsidRPr="00572C4E">
        <w:rPr>
          <w:rFonts w:asciiTheme="minorHAnsi" w:hAnsiTheme="minorHAnsi"/>
          <w:sz w:val="22"/>
          <w:szCs w:val="22"/>
        </w:rPr>
        <w:br/>
      </w:r>
    </w:p>
    <w:p w:rsidR="00572C4E" w:rsidRDefault="00572C4E" w:rsidP="00572C4E">
      <w:pPr>
        <w:numPr>
          <w:ilvl w:val="0"/>
          <w:numId w:val="44"/>
        </w:numPr>
        <w:tabs>
          <w:tab w:val="left" w:pos="709"/>
        </w:tabs>
        <w:spacing w:before="60" w:after="60"/>
        <w:ind w:left="709" w:right="-1" w:hanging="709"/>
        <w:rPr>
          <w:rFonts w:asciiTheme="minorHAnsi" w:hAnsiTheme="minorHAnsi" w:cs="Arial"/>
          <w:szCs w:val="22"/>
        </w:rPr>
      </w:pPr>
      <w:r>
        <w:rPr>
          <w:rFonts w:asciiTheme="minorHAnsi" w:hAnsiTheme="minorHAnsi" w:cs="Arial"/>
          <w:szCs w:val="22"/>
        </w:rPr>
        <w:t xml:space="preserve">We will also make inquiries about whether management has knowledge of any actual, suspected or alleged fraud.       </w:t>
      </w:r>
    </w:p>
    <w:p w:rsidR="00572C4E" w:rsidRDefault="00572C4E" w:rsidP="00572C4E">
      <w:pPr>
        <w:tabs>
          <w:tab w:val="left" w:pos="709"/>
        </w:tabs>
        <w:spacing w:before="60" w:after="60"/>
        <w:ind w:right="-1"/>
        <w:rPr>
          <w:rFonts w:asciiTheme="minorHAnsi" w:hAnsiTheme="minorHAnsi" w:cs="Arial"/>
          <w:szCs w:val="22"/>
        </w:rPr>
      </w:pPr>
    </w:p>
    <w:p w:rsidR="00572C4E" w:rsidRPr="00572C4E" w:rsidRDefault="00572C4E" w:rsidP="00572C4E">
      <w:pPr>
        <w:spacing w:before="60" w:after="60"/>
        <w:ind w:left="709" w:hanging="709"/>
        <w:jc w:val="both"/>
        <w:rPr>
          <w:rFonts w:asciiTheme="minorHAnsi" w:hAnsiTheme="minorHAnsi" w:cs="Arial"/>
          <w:szCs w:val="22"/>
        </w:rPr>
      </w:pPr>
      <w:r w:rsidRPr="00EA5094">
        <w:rPr>
          <w:rFonts w:asciiTheme="minorHAnsi" w:hAnsiTheme="minorHAnsi"/>
          <w:b/>
          <w:bCs/>
          <w:iCs/>
          <w:color w:val="17365D" w:themeColor="text2" w:themeShade="BF"/>
          <w:szCs w:val="22"/>
        </w:rPr>
        <w:t>Regularity and propriety</w:t>
      </w:r>
    </w:p>
    <w:p w:rsidR="001C0CB2" w:rsidRPr="00B96BEF"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szCs w:val="22"/>
        </w:rPr>
        <w:t>Our audit of regularity will be conducted in accordance w</w:t>
      </w:r>
      <w:r w:rsidR="00B96BEF">
        <w:rPr>
          <w:rFonts w:asciiTheme="minorHAnsi" w:hAnsiTheme="minorHAnsi"/>
          <w:szCs w:val="22"/>
        </w:rPr>
        <w:t>ith Financial Reporting Council’s Practice Note 10</w:t>
      </w:r>
      <w:r w:rsidRPr="00EA5094">
        <w:rPr>
          <w:rFonts w:asciiTheme="minorHAnsi" w:hAnsiTheme="minorHAnsi"/>
          <w:szCs w:val="22"/>
        </w:rPr>
        <w:t xml:space="preserve">: </w:t>
      </w:r>
      <w:r w:rsidRPr="00EA5094">
        <w:rPr>
          <w:rFonts w:asciiTheme="minorHAnsi" w:hAnsiTheme="minorHAnsi"/>
          <w:i/>
          <w:szCs w:val="22"/>
        </w:rPr>
        <w:t>Audit of financial statements of public sector</w:t>
      </w:r>
      <w:r w:rsidR="00B96BEF">
        <w:rPr>
          <w:rFonts w:asciiTheme="minorHAnsi" w:hAnsiTheme="minorHAnsi"/>
          <w:i/>
          <w:szCs w:val="22"/>
        </w:rPr>
        <w:t xml:space="preserve"> entities in the United Kingdom</w:t>
      </w:r>
      <w:r w:rsidRPr="00EA5094">
        <w:rPr>
          <w:rFonts w:asciiTheme="minorHAnsi" w:hAnsiTheme="minorHAnsi"/>
          <w:szCs w:val="22"/>
        </w:rPr>
        <w:t xml:space="preserve">. We test that the transactions entered into by the organisation comply with the regularity framework within which the </w:t>
      </w:r>
      <w:r w:rsidR="00B96BEF" w:rsidRPr="00B96BEF">
        <w:rPr>
          <w:rFonts w:asciiTheme="minorHAnsi" w:hAnsiTheme="minorHAnsi"/>
          <w:szCs w:val="22"/>
        </w:rPr>
        <w:t xml:space="preserve">audited body </w:t>
      </w:r>
      <w:r w:rsidRPr="00B96BEF">
        <w:rPr>
          <w:rFonts w:asciiTheme="minorHAnsi" w:hAnsiTheme="minorHAnsi"/>
          <w:szCs w:val="22"/>
        </w:rPr>
        <w:t>operates</w:t>
      </w:r>
      <w:r w:rsidRPr="00EA5094">
        <w:rPr>
          <w:rFonts w:asciiTheme="minorHAnsi" w:hAnsiTheme="minorHAnsi"/>
          <w:szCs w:val="22"/>
        </w:rPr>
        <w:t>. Our approach to completing the regularity audit will be to obtain a sufficient understanding of the framework</w:t>
      </w:r>
      <w:r w:rsidR="00B96BEF">
        <w:rPr>
          <w:rFonts w:asciiTheme="minorHAnsi" w:hAnsiTheme="minorHAnsi"/>
          <w:szCs w:val="22"/>
        </w:rPr>
        <w:t xml:space="preserve"> under which audited body</w:t>
      </w:r>
      <w:r w:rsidRPr="00EA5094">
        <w:rPr>
          <w:rFonts w:asciiTheme="minorHAnsi" w:hAnsiTheme="minorHAnsi"/>
          <w:szCs w:val="22"/>
        </w:rPr>
        <w:t xml:space="preserve"> operates and to test compliance.</w:t>
      </w:r>
    </w:p>
    <w:p w:rsidR="00B96BEF" w:rsidRPr="00EA5094" w:rsidRDefault="00B96BEF" w:rsidP="00B96BEF">
      <w:pPr>
        <w:tabs>
          <w:tab w:val="left" w:pos="709"/>
        </w:tabs>
        <w:spacing w:before="60" w:after="60"/>
        <w:ind w:left="709" w:right="-1"/>
        <w:jc w:val="both"/>
        <w:rPr>
          <w:rFonts w:asciiTheme="minorHAnsi" w:hAnsiTheme="minorHAnsi" w:cs="Arial"/>
          <w:szCs w:val="22"/>
        </w:rPr>
      </w:pPr>
    </w:p>
    <w:p w:rsidR="001C0CB2" w:rsidRPr="00EA5094"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szCs w:val="22"/>
        </w:rPr>
        <w:t>Thi</w:t>
      </w:r>
      <w:r w:rsidR="00B96BEF">
        <w:rPr>
          <w:rFonts w:asciiTheme="minorHAnsi" w:hAnsiTheme="minorHAnsi"/>
          <w:szCs w:val="22"/>
        </w:rPr>
        <w:t>s means gaining assurance that audited body</w:t>
      </w:r>
      <w:r w:rsidRPr="00EA5094">
        <w:rPr>
          <w:rFonts w:asciiTheme="minorHAnsi" w:hAnsiTheme="minorHAnsi" w:cs="Arial"/>
          <w:color w:val="000000" w:themeColor="text1"/>
          <w:szCs w:val="22"/>
        </w:rPr>
        <w:t>’s</w:t>
      </w:r>
      <w:r w:rsidRPr="00EA5094">
        <w:rPr>
          <w:rFonts w:asciiTheme="minorHAnsi" w:hAnsiTheme="minorHAnsi"/>
          <w:szCs w:val="22"/>
        </w:rPr>
        <w:t xml:space="preserve"> income and expenditure transactions are in accordance with appropriate authorities, including the statutory framework for the organisation, Managing Public Money Northern Ireland and other requirements of the Northern Ireland Assembly and the Dep</w:t>
      </w:r>
      <w:r w:rsidR="00126C3B">
        <w:rPr>
          <w:rFonts w:asciiTheme="minorHAnsi" w:hAnsiTheme="minorHAnsi"/>
          <w:szCs w:val="22"/>
        </w:rPr>
        <w:t>artment of Finance</w:t>
      </w:r>
      <w:r w:rsidRPr="00EA5094">
        <w:rPr>
          <w:rFonts w:asciiTheme="minorHAnsi" w:hAnsiTheme="minorHAnsi"/>
          <w:szCs w:val="22"/>
        </w:rPr>
        <w:t>.</w:t>
      </w:r>
      <w:r w:rsidR="00B96BEF">
        <w:rPr>
          <w:rFonts w:asciiTheme="minorHAnsi" w:hAnsiTheme="minorHAnsi"/>
          <w:szCs w:val="22"/>
        </w:rPr>
        <w:br/>
      </w:r>
    </w:p>
    <w:p w:rsidR="001C0CB2" w:rsidRPr="00EA5094"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szCs w:val="22"/>
        </w:rPr>
        <w:t>We will also have regard to the concept of propriety in conducting our audit, which is concerned with the Northern Ireland Assembly’s intention as to the way in which public business should be conducted, concerning the avoidance of waste and extravagance.</w:t>
      </w:r>
      <w:r w:rsidR="00B96BEF">
        <w:rPr>
          <w:rFonts w:asciiTheme="minorHAnsi" w:hAnsiTheme="minorHAnsi"/>
          <w:szCs w:val="22"/>
        </w:rPr>
        <w:br/>
      </w:r>
    </w:p>
    <w:p w:rsidR="001C0CB2" w:rsidRPr="00EA5094" w:rsidRDefault="001C0CB2" w:rsidP="00AF3304">
      <w:pPr>
        <w:spacing w:before="60" w:after="60"/>
        <w:ind w:left="709" w:hanging="709"/>
        <w:jc w:val="both"/>
        <w:rPr>
          <w:rFonts w:asciiTheme="minorHAnsi" w:hAnsiTheme="minorHAnsi"/>
          <w:b/>
          <w:color w:val="17365D" w:themeColor="text2" w:themeShade="BF"/>
          <w:szCs w:val="22"/>
        </w:rPr>
      </w:pPr>
      <w:r w:rsidRPr="00EA5094">
        <w:rPr>
          <w:rFonts w:asciiTheme="minorHAnsi" w:hAnsiTheme="minorHAnsi"/>
          <w:b/>
          <w:color w:val="17365D" w:themeColor="text2" w:themeShade="BF"/>
          <w:szCs w:val="22"/>
        </w:rPr>
        <w:t>Communication of audit matters</w:t>
      </w:r>
    </w:p>
    <w:p w:rsidR="001C0CB2"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t xml:space="preserve">ISA 260: </w:t>
      </w:r>
      <w:r w:rsidRPr="00EA5094">
        <w:rPr>
          <w:rFonts w:asciiTheme="minorHAnsi" w:hAnsiTheme="minorHAnsi" w:cs="Arial"/>
          <w:i/>
          <w:szCs w:val="22"/>
        </w:rPr>
        <w:t>Communication with those charged with governance</w:t>
      </w:r>
      <w:r w:rsidRPr="00EA5094">
        <w:rPr>
          <w:rFonts w:asciiTheme="minorHAnsi" w:hAnsiTheme="minorHAnsi" w:cs="Arial"/>
          <w:szCs w:val="22"/>
        </w:rPr>
        <w:t xml:space="preserve"> provides guidance for communication during the audit cycle.</w:t>
      </w:r>
      <w:r w:rsidR="00B96BEF">
        <w:rPr>
          <w:rFonts w:asciiTheme="minorHAnsi" w:hAnsiTheme="minorHAnsi" w:cs="Arial"/>
          <w:szCs w:val="22"/>
        </w:rPr>
        <w:br/>
      </w:r>
    </w:p>
    <w:p w:rsidR="001C0CB2" w:rsidRPr="00EA5094"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t>The principles of this ISA are embodied in the NIAO audit approach. These include the provision of this strategy document, wash-up meetings, after audit visits to communicate findings, and the provision of a Report to those Charged with Governance at the completion of the audit setting out observations and recommendations on significant matters which have arisen during the course of the audit.</w:t>
      </w:r>
      <w:r w:rsidRPr="00EA5094">
        <w:rPr>
          <w:rFonts w:asciiTheme="minorHAnsi" w:hAnsiTheme="minorHAnsi"/>
          <w:szCs w:val="22"/>
          <w:highlight w:val="lightGray"/>
        </w:rPr>
        <w:t xml:space="preserve"> </w:t>
      </w:r>
      <w:r w:rsidR="00B96BEF">
        <w:rPr>
          <w:rFonts w:asciiTheme="minorHAnsi" w:hAnsiTheme="minorHAnsi"/>
          <w:szCs w:val="22"/>
        </w:rPr>
        <w:br/>
      </w:r>
    </w:p>
    <w:p w:rsidR="001C0CB2"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t>In addition, the ISA states that ‘</w:t>
      </w:r>
      <w:r w:rsidRPr="00EA5094">
        <w:rPr>
          <w:rFonts w:asciiTheme="minorHAnsi" w:hAnsiTheme="minorHAnsi" w:cs="Arial"/>
          <w:i/>
          <w:szCs w:val="22"/>
        </w:rPr>
        <w:t>the auditor shall communicate with those charged with governance significant difficulties, if any, encountered during the audit</w:t>
      </w:r>
      <w:r w:rsidRPr="00EA5094">
        <w:rPr>
          <w:rFonts w:asciiTheme="minorHAnsi" w:hAnsiTheme="minorHAnsi" w:cs="Arial"/>
          <w:szCs w:val="22"/>
        </w:rPr>
        <w:t>’. Significant difficulties would include delays in management providing required information, the unavailability of expected information and restrictions imposed on the auditor by management. We will consider if any issues we have in performing our audit represents significant difficulties. If we encounter significant difficulties we must report these to those charged with governance, documenting how they have been resolved.</w:t>
      </w:r>
      <w:r w:rsidR="00B96BEF">
        <w:rPr>
          <w:rFonts w:asciiTheme="minorHAnsi" w:hAnsiTheme="minorHAnsi" w:cs="Arial"/>
          <w:szCs w:val="22"/>
        </w:rPr>
        <w:br/>
      </w:r>
    </w:p>
    <w:p w:rsidR="001C0CB2"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lastRenderedPageBreak/>
        <w:t xml:space="preserve">ISA 265: </w:t>
      </w:r>
      <w:r w:rsidRPr="00EA5094">
        <w:rPr>
          <w:rFonts w:asciiTheme="minorHAnsi" w:hAnsiTheme="minorHAnsi" w:cs="Arial"/>
          <w:i/>
          <w:szCs w:val="22"/>
        </w:rPr>
        <w:t>Communicating deficiencies in internal control to those charged with governance and management</w:t>
      </w:r>
      <w:r w:rsidRPr="00EA5094">
        <w:rPr>
          <w:rFonts w:asciiTheme="minorHAnsi" w:hAnsiTheme="minorHAnsi" w:cs="Arial"/>
          <w:szCs w:val="22"/>
        </w:rPr>
        <w:t xml:space="preserve"> places a responsibility on the auditor to communicate appropriately to those charged with governance and management deficiencies in internal control that the auditor has identified in an audit of financial statements. We will report significant deficiencies in writing to those charged with governance and management. </w:t>
      </w:r>
      <w:r w:rsidR="00B96BEF">
        <w:rPr>
          <w:rFonts w:asciiTheme="minorHAnsi" w:hAnsiTheme="minorHAnsi" w:cs="Arial"/>
          <w:szCs w:val="22"/>
        </w:rPr>
        <w:br/>
      </w:r>
    </w:p>
    <w:p w:rsidR="001C0CB2" w:rsidRPr="00EA5094" w:rsidRDefault="00B96BEF" w:rsidP="00AF3304">
      <w:pPr>
        <w:pStyle w:val="Heading3"/>
        <w:spacing w:before="60" w:after="60"/>
        <w:ind w:left="709" w:hanging="709"/>
        <w:jc w:val="both"/>
        <w:rPr>
          <w:rFonts w:asciiTheme="minorHAnsi" w:hAnsiTheme="minorHAnsi"/>
          <w:color w:val="17365D" w:themeColor="text2" w:themeShade="BF"/>
          <w:szCs w:val="22"/>
        </w:rPr>
      </w:pPr>
      <w:r>
        <w:rPr>
          <w:rFonts w:asciiTheme="minorHAnsi" w:hAnsiTheme="minorHAnsi"/>
          <w:color w:val="17365D" w:themeColor="text2" w:themeShade="BF"/>
          <w:szCs w:val="22"/>
        </w:rPr>
        <w:t>Whole of Government Accounts (if applicable)</w:t>
      </w:r>
    </w:p>
    <w:p w:rsidR="000C01A8" w:rsidRPr="000C01A8" w:rsidRDefault="00B96BEF" w:rsidP="001D7B63">
      <w:pPr>
        <w:numPr>
          <w:ilvl w:val="0"/>
          <w:numId w:val="44"/>
        </w:numPr>
        <w:tabs>
          <w:tab w:val="left" w:pos="709"/>
        </w:tabs>
        <w:spacing w:before="60" w:after="60"/>
        <w:ind w:left="709" w:right="-1" w:hanging="709"/>
        <w:rPr>
          <w:rFonts w:asciiTheme="minorHAnsi" w:hAnsiTheme="minorHAnsi" w:cs="Arial"/>
          <w:szCs w:val="22"/>
        </w:rPr>
      </w:pPr>
      <w:r>
        <w:rPr>
          <w:rFonts w:asciiTheme="minorHAnsi" w:hAnsiTheme="minorHAnsi"/>
        </w:rPr>
        <w:t xml:space="preserve">If the audited body </w:t>
      </w:r>
      <w:r w:rsidR="000C01A8" w:rsidRPr="000C01A8">
        <w:rPr>
          <w:rFonts w:asciiTheme="minorHAnsi" w:hAnsiTheme="minorHAnsi"/>
        </w:rPr>
        <w:t xml:space="preserve">has been designated for inclusion in the Whole of </w:t>
      </w:r>
      <w:r w:rsidR="00217735">
        <w:rPr>
          <w:rFonts w:asciiTheme="minorHAnsi" w:hAnsiTheme="minorHAnsi"/>
        </w:rPr>
        <w:t>Government Accounts (WGA) by DoF</w:t>
      </w:r>
      <w:r w:rsidR="000C01A8" w:rsidRPr="000C01A8">
        <w:rPr>
          <w:rFonts w:asciiTheme="minorHAnsi" w:hAnsiTheme="minorHAnsi"/>
        </w:rPr>
        <w:t xml:space="preserve"> under section 15(1) of the Government Resources and Accounts Act (No</w:t>
      </w:r>
      <w:r w:rsidR="001D7B63">
        <w:rPr>
          <w:rFonts w:asciiTheme="minorHAnsi" w:hAnsiTheme="minorHAnsi"/>
        </w:rPr>
        <w:t>rthern Ireland) 2001</w:t>
      </w:r>
      <w:r>
        <w:rPr>
          <w:rFonts w:asciiTheme="minorHAnsi" w:hAnsiTheme="minorHAnsi"/>
        </w:rPr>
        <w:t>, it</w:t>
      </w:r>
      <w:r w:rsidR="000C01A8" w:rsidRPr="000C01A8">
        <w:rPr>
          <w:rFonts w:asciiTheme="minorHAnsi" w:hAnsiTheme="minorHAnsi"/>
        </w:rPr>
        <w:t xml:space="preserve"> is require</w:t>
      </w:r>
      <w:r w:rsidR="00217735">
        <w:rPr>
          <w:rFonts w:asciiTheme="minorHAnsi" w:hAnsiTheme="minorHAnsi"/>
        </w:rPr>
        <w:t>d to provide a WGA return to DoF</w:t>
      </w:r>
      <w:r w:rsidR="000C01A8" w:rsidRPr="000C01A8">
        <w:rPr>
          <w:rFonts w:asciiTheme="minorHAnsi" w:hAnsiTheme="minorHAnsi"/>
        </w:rPr>
        <w:t xml:space="preserve"> as directed.  </w:t>
      </w:r>
      <w:r w:rsidR="001D7B63">
        <w:rPr>
          <w:rFonts w:asciiTheme="minorHAnsi" w:hAnsiTheme="minorHAnsi"/>
        </w:rPr>
        <w:br/>
      </w:r>
    </w:p>
    <w:p w:rsidR="000C01A8" w:rsidRPr="000C01A8" w:rsidRDefault="00E1154A" w:rsidP="00572C4E">
      <w:pPr>
        <w:numPr>
          <w:ilvl w:val="0"/>
          <w:numId w:val="44"/>
        </w:numPr>
        <w:tabs>
          <w:tab w:val="left" w:pos="709"/>
        </w:tabs>
        <w:spacing w:before="60" w:after="60"/>
        <w:ind w:left="709" w:right="-1" w:hanging="709"/>
        <w:rPr>
          <w:rFonts w:asciiTheme="minorHAnsi" w:hAnsiTheme="minorHAnsi" w:cs="Arial"/>
          <w:szCs w:val="22"/>
        </w:rPr>
      </w:pPr>
      <w:r>
        <w:rPr>
          <w:rFonts w:asciiTheme="minorHAnsi" w:hAnsiTheme="minorHAnsi"/>
        </w:rPr>
        <w:t xml:space="preserve">If the audited body is deemed </w:t>
      </w:r>
      <w:r w:rsidR="00217735">
        <w:rPr>
          <w:rFonts w:asciiTheme="minorHAnsi" w:hAnsiTheme="minorHAnsi"/>
        </w:rPr>
        <w:t>by DoF</w:t>
      </w:r>
      <w:r>
        <w:rPr>
          <w:rFonts w:asciiTheme="minorHAnsi" w:hAnsiTheme="minorHAnsi"/>
        </w:rPr>
        <w:t xml:space="preserve"> to be a ‘WGA Minor Body’ it has</w:t>
      </w:r>
      <w:r w:rsidR="000C01A8" w:rsidRPr="000C01A8">
        <w:rPr>
          <w:rFonts w:asciiTheme="minorHAnsi" w:hAnsiTheme="minorHAnsi"/>
        </w:rPr>
        <w:t xml:space="preserve"> very limited reporting requirements for WGA and do</w:t>
      </w:r>
      <w:r>
        <w:rPr>
          <w:rFonts w:asciiTheme="minorHAnsi" w:hAnsiTheme="minorHAnsi"/>
        </w:rPr>
        <w:t>es not require an audit of its</w:t>
      </w:r>
      <w:r w:rsidR="000C01A8" w:rsidRPr="000C01A8">
        <w:rPr>
          <w:rFonts w:asciiTheme="minorHAnsi" w:hAnsiTheme="minorHAnsi"/>
        </w:rPr>
        <w:t xml:space="preserve"> WGA returns. Minor Body status is subject to review each year.</w:t>
      </w:r>
      <w:r>
        <w:rPr>
          <w:rFonts w:asciiTheme="minorHAnsi" w:hAnsiTheme="minorHAnsi"/>
        </w:rPr>
        <w:br/>
      </w:r>
    </w:p>
    <w:p w:rsidR="000C01A8" w:rsidRPr="000C01A8" w:rsidRDefault="00E1154A" w:rsidP="000C01A8">
      <w:pPr>
        <w:pStyle w:val="ListParagraph"/>
        <w:rPr>
          <w:rFonts w:asciiTheme="minorHAnsi" w:hAnsiTheme="minorHAnsi"/>
          <w:szCs w:val="22"/>
        </w:rPr>
      </w:pPr>
      <w:r w:rsidRPr="00E1154A">
        <w:rPr>
          <w:rFonts w:asciiTheme="minorHAnsi" w:hAnsiTheme="minorHAnsi"/>
          <w:szCs w:val="22"/>
        </w:rPr>
        <w:t>Alternatively,</w:t>
      </w:r>
      <w:r>
        <w:rPr>
          <w:rFonts w:asciiTheme="minorHAnsi" w:hAnsiTheme="minorHAnsi"/>
          <w:szCs w:val="22"/>
        </w:rPr>
        <w:br/>
      </w:r>
    </w:p>
    <w:p w:rsidR="001C0CB2" w:rsidRPr="000C01A8" w:rsidRDefault="00E1154A" w:rsidP="00E1154A">
      <w:pPr>
        <w:tabs>
          <w:tab w:val="left" w:pos="8646"/>
        </w:tabs>
        <w:spacing w:before="60" w:after="60"/>
        <w:ind w:left="709" w:right="-1"/>
        <w:rPr>
          <w:rFonts w:asciiTheme="minorHAnsi" w:hAnsiTheme="minorHAnsi" w:cs="Arial"/>
          <w:szCs w:val="22"/>
        </w:rPr>
      </w:pPr>
      <w:r>
        <w:rPr>
          <w:rFonts w:asciiTheme="minorHAnsi" w:hAnsiTheme="minorHAnsi"/>
        </w:rPr>
        <w:t>The audited body</w:t>
      </w:r>
      <w:r w:rsidR="000C01A8">
        <w:rPr>
          <w:rFonts w:asciiTheme="minorHAnsi" w:hAnsiTheme="minorHAnsi"/>
        </w:rPr>
        <w:t>’s </w:t>
      </w:r>
      <w:r w:rsidR="000C01A8" w:rsidRPr="000C01A8">
        <w:rPr>
          <w:rFonts w:asciiTheme="minorHAnsi" w:hAnsiTheme="minorHAnsi"/>
        </w:rPr>
        <w:t>annual WGA return may require to be audited. The requirement for audit and extent of that audit will be determined each year in accordance with certain criteria set by the National Audit Office’s WGA audit team. Where an audit is required, you are responsible for providing us with the accounting records and all other relevant records and related information that support it.</w:t>
      </w:r>
      <w:r>
        <w:rPr>
          <w:rFonts w:asciiTheme="minorHAnsi" w:hAnsiTheme="minorHAnsi"/>
        </w:rPr>
        <w:br/>
      </w:r>
      <w:r w:rsidR="000C01A8" w:rsidRPr="000C01A8">
        <w:rPr>
          <w:rFonts w:asciiTheme="minorHAnsi" w:hAnsiTheme="minorHAnsi"/>
        </w:rPr>
        <w:t>  </w:t>
      </w:r>
    </w:p>
    <w:p w:rsidR="001C0CB2" w:rsidRPr="00EA5094" w:rsidRDefault="001C0CB2" w:rsidP="00AF3304">
      <w:pPr>
        <w:tabs>
          <w:tab w:val="left" w:pos="8646"/>
        </w:tabs>
        <w:spacing w:before="60" w:after="60"/>
        <w:ind w:left="709" w:right="-1" w:hanging="709"/>
        <w:jc w:val="both"/>
        <w:rPr>
          <w:rFonts w:asciiTheme="minorHAnsi" w:hAnsiTheme="minorHAnsi" w:cs="Arial"/>
          <w:szCs w:val="22"/>
        </w:rPr>
      </w:pPr>
      <w:r w:rsidRPr="0041695E">
        <w:rPr>
          <w:rFonts w:asciiTheme="minorHAnsi" w:hAnsiTheme="minorHAnsi"/>
          <w:b/>
          <w:color w:val="17365D" w:themeColor="text2" w:themeShade="BF"/>
          <w:szCs w:val="22"/>
        </w:rPr>
        <w:t>Personal Data</w:t>
      </w:r>
    </w:p>
    <w:p w:rsidR="001C0CB2" w:rsidRPr="00EA5094"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szCs w:val="22"/>
        </w:rPr>
        <w:t xml:space="preserve">The processing of personal data for audit purposes will be completed in accordance with the requirements of the Data Protection Act 1998. We have procedures in place to ensure that the security of personal data is safeguarded at all stages of the audit process. </w:t>
      </w:r>
      <w:r w:rsidRPr="00CD6CA5">
        <w:rPr>
          <w:rFonts w:asciiTheme="minorHAnsi" w:hAnsiTheme="minorHAnsi"/>
          <w:szCs w:val="22"/>
        </w:rPr>
        <w:t xml:space="preserve">We will notify you in the </w:t>
      </w:r>
      <w:r w:rsidR="00CD6CA5" w:rsidRPr="00CD6CA5">
        <w:rPr>
          <w:rFonts w:asciiTheme="minorHAnsi" w:hAnsiTheme="minorHAnsi"/>
          <w:szCs w:val="22"/>
        </w:rPr>
        <w:t>Key Messages section</w:t>
      </w:r>
      <w:r w:rsidRPr="00CD6CA5">
        <w:rPr>
          <w:rFonts w:asciiTheme="minorHAnsi" w:hAnsiTheme="minorHAnsi"/>
          <w:szCs w:val="22"/>
        </w:rPr>
        <w:t xml:space="preserve"> of the Report to those charged with Governance of action taken to return, retain or destroy any personal data processed for audit purposes.</w:t>
      </w:r>
      <w:r w:rsidR="00E1154A">
        <w:rPr>
          <w:rFonts w:asciiTheme="minorHAnsi" w:hAnsiTheme="minorHAnsi"/>
          <w:szCs w:val="22"/>
        </w:rPr>
        <w:br/>
      </w:r>
    </w:p>
    <w:p w:rsidR="001C0CB2" w:rsidRPr="00EA5094" w:rsidRDefault="001C0CB2" w:rsidP="00AF3304">
      <w:pPr>
        <w:spacing w:before="60" w:after="60"/>
        <w:ind w:left="709" w:hanging="709"/>
        <w:jc w:val="both"/>
        <w:rPr>
          <w:rFonts w:asciiTheme="minorHAnsi" w:hAnsiTheme="minorHAnsi"/>
          <w:b/>
          <w:color w:val="17365D" w:themeColor="text2" w:themeShade="BF"/>
          <w:szCs w:val="22"/>
        </w:rPr>
      </w:pPr>
      <w:r w:rsidRPr="00EA5094">
        <w:rPr>
          <w:rFonts w:asciiTheme="minorHAnsi" w:hAnsiTheme="minorHAnsi"/>
          <w:b/>
          <w:color w:val="17365D" w:themeColor="text2" w:themeShade="BF"/>
          <w:szCs w:val="22"/>
        </w:rPr>
        <w:t>Assembly of certified audit files</w:t>
      </w:r>
    </w:p>
    <w:p w:rsidR="001C0CB2" w:rsidRDefault="001C0CB2" w:rsidP="00572C4E">
      <w:pPr>
        <w:numPr>
          <w:ilvl w:val="0"/>
          <w:numId w:val="44"/>
        </w:numPr>
        <w:tabs>
          <w:tab w:val="left" w:pos="709"/>
        </w:tabs>
        <w:spacing w:before="60" w:after="60"/>
        <w:ind w:left="709" w:right="-1" w:hanging="709"/>
        <w:rPr>
          <w:rFonts w:asciiTheme="minorHAnsi" w:hAnsiTheme="minorHAnsi" w:cs="Arial"/>
          <w:szCs w:val="22"/>
        </w:rPr>
      </w:pPr>
      <w:r w:rsidRPr="00EA5094">
        <w:rPr>
          <w:rFonts w:asciiTheme="minorHAnsi" w:hAnsiTheme="minorHAnsi" w:cs="Arial"/>
          <w:szCs w:val="22"/>
        </w:rPr>
        <w:t>International Standard on</w:t>
      </w:r>
      <w:r w:rsidR="00E1154A">
        <w:rPr>
          <w:rFonts w:asciiTheme="minorHAnsi" w:hAnsiTheme="minorHAnsi" w:cs="Arial"/>
          <w:szCs w:val="22"/>
        </w:rPr>
        <w:t xml:space="preserve"> Quality Control (UK</w:t>
      </w:r>
      <w:r w:rsidRPr="00EA5094">
        <w:rPr>
          <w:rFonts w:asciiTheme="minorHAnsi" w:hAnsiTheme="minorHAnsi" w:cs="Arial"/>
          <w:szCs w:val="22"/>
        </w:rPr>
        <w:t xml:space="preserve">) 1 (ISQC1): </w:t>
      </w:r>
      <w:r w:rsidRPr="00EA5094">
        <w:rPr>
          <w:rFonts w:asciiTheme="minorHAnsi" w:hAnsiTheme="minorHAnsi" w:cs="Arial"/>
          <w:i/>
          <w:szCs w:val="22"/>
        </w:rPr>
        <w:t>Quality control for firms that perform audits</w:t>
      </w:r>
      <w:r w:rsidRPr="00EA5094">
        <w:rPr>
          <w:rFonts w:asciiTheme="minorHAnsi" w:hAnsiTheme="minorHAnsi" w:cs="Arial"/>
          <w:szCs w:val="22"/>
        </w:rPr>
        <w:t xml:space="preserve"> provides guidance on the assembly of completed audit files. We are dedicated to achieving quality throughout our audit process. </w:t>
      </w:r>
      <w:hyperlink r:id="rId8" w:history="1">
        <w:r w:rsidRPr="00EA5094">
          <w:rPr>
            <w:rStyle w:val="Hyperlink"/>
            <w:rFonts w:asciiTheme="minorHAnsi" w:hAnsiTheme="minorHAnsi" w:cs="Arial"/>
            <w:color w:val="auto"/>
            <w:szCs w:val="22"/>
            <w:u w:val="none"/>
          </w:rPr>
          <w:t>ISQC1</w:t>
        </w:r>
      </w:hyperlink>
      <w:r w:rsidRPr="00EA5094">
        <w:rPr>
          <w:rFonts w:asciiTheme="minorHAnsi" w:hAnsiTheme="minorHAnsi" w:cs="Arial"/>
          <w:szCs w:val="22"/>
        </w:rPr>
        <w:t xml:space="preserve"> suggests that 60 days is sufficient time to assemble the files and also states that firms should have “policies and procedures designed to maintain the confidentiality, safe custody, integrity, accessibility and retrievability of engagement documentation”.</w:t>
      </w:r>
      <w:r w:rsidR="00E1154A">
        <w:rPr>
          <w:rFonts w:asciiTheme="minorHAnsi" w:hAnsiTheme="minorHAnsi" w:cs="Arial"/>
          <w:szCs w:val="22"/>
        </w:rPr>
        <w:br/>
      </w:r>
    </w:p>
    <w:p w:rsidR="001C0CB2" w:rsidRPr="00EA5094" w:rsidRDefault="001C0CB2" w:rsidP="00572C4E">
      <w:pPr>
        <w:numPr>
          <w:ilvl w:val="0"/>
          <w:numId w:val="44"/>
        </w:numPr>
        <w:spacing w:before="60" w:after="60"/>
        <w:ind w:left="709" w:right="-1" w:hanging="709"/>
        <w:rPr>
          <w:rFonts w:asciiTheme="minorHAnsi" w:hAnsiTheme="minorHAnsi" w:cs="Arial"/>
          <w:szCs w:val="22"/>
        </w:rPr>
      </w:pPr>
      <w:r w:rsidRPr="00EA5094">
        <w:rPr>
          <w:rFonts w:asciiTheme="minorHAnsi" w:hAnsiTheme="minorHAnsi"/>
          <w:szCs w:val="22"/>
        </w:rPr>
        <w:t xml:space="preserve">As part of our office procedures we operate a structured approach to storing the completed audit files within 60 days of certification thereby demonstrating compliance with </w:t>
      </w:r>
      <w:hyperlink r:id="rId9" w:history="1">
        <w:r w:rsidRPr="00EA5094">
          <w:rPr>
            <w:rStyle w:val="Hyperlink"/>
            <w:rFonts w:asciiTheme="minorHAnsi" w:hAnsiTheme="minorHAnsi"/>
            <w:color w:val="auto"/>
            <w:szCs w:val="22"/>
            <w:u w:val="none"/>
          </w:rPr>
          <w:t>ISQC1</w:t>
        </w:r>
      </w:hyperlink>
      <w:r w:rsidRPr="00EA5094">
        <w:rPr>
          <w:rFonts w:asciiTheme="minorHAnsi" w:hAnsiTheme="minorHAnsi"/>
          <w:szCs w:val="22"/>
        </w:rPr>
        <w:t xml:space="preserve"> requirements (which are echoed in</w:t>
      </w:r>
      <w:hyperlink r:id="rId10" w:history="1">
        <w:r w:rsidRPr="00EA5094">
          <w:rPr>
            <w:rStyle w:val="Hyperlink"/>
            <w:rFonts w:asciiTheme="minorHAnsi" w:hAnsiTheme="minorHAnsi"/>
            <w:color w:val="auto"/>
            <w:szCs w:val="22"/>
            <w:u w:val="none"/>
          </w:rPr>
          <w:t xml:space="preserve"> ISA 230: </w:t>
        </w:r>
        <w:r w:rsidRPr="00EA5094">
          <w:rPr>
            <w:rStyle w:val="Hyperlink"/>
            <w:rFonts w:asciiTheme="minorHAnsi" w:hAnsiTheme="minorHAnsi"/>
            <w:i/>
            <w:color w:val="auto"/>
            <w:szCs w:val="22"/>
            <w:u w:val="none"/>
          </w:rPr>
          <w:t>Audit documentatio</w:t>
        </w:r>
        <w:r w:rsidRPr="00EA5094">
          <w:rPr>
            <w:rStyle w:val="Hyperlink"/>
            <w:rFonts w:asciiTheme="minorHAnsi" w:hAnsiTheme="minorHAnsi"/>
            <w:color w:val="auto"/>
            <w:szCs w:val="22"/>
            <w:u w:val="none"/>
          </w:rPr>
          <w:t>n</w:t>
        </w:r>
      </w:hyperlink>
      <w:r w:rsidRPr="00EA5094">
        <w:rPr>
          <w:rFonts w:asciiTheme="minorHAnsi" w:hAnsiTheme="minorHAnsi"/>
          <w:szCs w:val="22"/>
        </w:rPr>
        <w:t>). Therefore we will request that management responses to our Report to those charged with Governance are agreed within 60 days of certification.</w:t>
      </w:r>
      <w:r w:rsidR="00E1154A">
        <w:rPr>
          <w:rFonts w:asciiTheme="minorHAnsi" w:hAnsiTheme="minorHAnsi"/>
          <w:szCs w:val="22"/>
        </w:rPr>
        <w:br/>
      </w:r>
    </w:p>
    <w:p w:rsidR="001C0CB2" w:rsidRPr="00EA5094" w:rsidRDefault="001C0CB2" w:rsidP="00AF3304">
      <w:pPr>
        <w:pStyle w:val="Bullet"/>
        <w:numPr>
          <w:ilvl w:val="0"/>
          <w:numId w:val="0"/>
        </w:numPr>
        <w:ind w:left="709" w:hanging="709"/>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Independence</w:t>
      </w:r>
    </w:p>
    <w:p w:rsidR="00B65CBE" w:rsidRPr="00E1154A" w:rsidRDefault="001C0CB2" w:rsidP="00572C4E">
      <w:pPr>
        <w:pStyle w:val="ListParagraph"/>
        <w:numPr>
          <w:ilvl w:val="0"/>
          <w:numId w:val="44"/>
        </w:numPr>
        <w:tabs>
          <w:tab w:val="left" w:pos="709"/>
        </w:tabs>
        <w:spacing w:before="60" w:after="60"/>
        <w:ind w:right="-1"/>
        <w:rPr>
          <w:rFonts w:asciiTheme="minorHAnsi" w:hAnsiTheme="minorHAnsi"/>
        </w:rPr>
      </w:pPr>
      <w:r w:rsidRPr="00E1154A">
        <w:rPr>
          <w:rFonts w:asciiTheme="minorHAnsi" w:hAnsiTheme="minorHAnsi"/>
          <w:szCs w:val="22"/>
        </w:rPr>
        <w:t xml:space="preserve">The NIAO complies with relevant ethical requirements regarding independence and has developed important safeguards and procedures in order to ensure our independence and </w:t>
      </w:r>
      <w:r w:rsidRPr="00E1154A">
        <w:rPr>
          <w:rFonts w:asciiTheme="minorHAnsi" w:hAnsiTheme="minorHAnsi"/>
          <w:szCs w:val="22"/>
        </w:rPr>
        <w:lastRenderedPageBreak/>
        <w:t>ob</w:t>
      </w:r>
      <w:r w:rsidR="00E1154A" w:rsidRPr="00E1154A">
        <w:rPr>
          <w:rFonts w:asciiTheme="minorHAnsi" w:hAnsiTheme="minorHAnsi"/>
          <w:szCs w:val="22"/>
        </w:rPr>
        <w:t xml:space="preserve">jectivity. </w:t>
      </w:r>
      <w:r w:rsidRPr="00E1154A">
        <w:rPr>
          <w:rFonts w:asciiTheme="minorHAnsi" w:hAnsiTheme="minorHAnsi"/>
          <w:szCs w:val="22"/>
        </w:rPr>
        <w:t xml:space="preserve">We will reconfirm our independence and </w:t>
      </w:r>
      <w:r w:rsidR="00E1154A" w:rsidRPr="00E1154A">
        <w:rPr>
          <w:rFonts w:asciiTheme="minorHAnsi" w:hAnsiTheme="minorHAnsi"/>
          <w:szCs w:val="22"/>
        </w:rPr>
        <w:t xml:space="preserve">objectivity for the year ended </w:t>
      </w:r>
      <w:r w:rsidRPr="00E1154A">
        <w:rPr>
          <w:rFonts w:asciiTheme="minorHAnsi" w:hAnsiTheme="minorHAnsi"/>
          <w:szCs w:val="22"/>
        </w:rPr>
        <w:t xml:space="preserve">in our Report to those Charged with Governance. </w:t>
      </w:r>
    </w:p>
    <w:sectPr w:rsidR="00B65CBE" w:rsidRPr="00E1154A" w:rsidSect="000B140A">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CC" w:rsidRDefault="00252FCC" w:rsidP="00CA0962">
      <w:r>
        <w:separator/>
      </w:r>
    </w:p>
  </w:endnote>
  <w:endnote w:type="continuationSeparator" w:id="0">
    <w:p w:rsidR="00252FCC" w:rsidRDefault="00252FCC" w:rsidP="00C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CC" w:rsidRDefault="00252FCC" w:rsidP="00CA0962">
      <w:r>
        <w:separator/>
      </w:r>
    </w:p>
  </w:footnote>
  <w:footnote w:type="continuationSeparator" w:id="0">
    <w:p w:rsidR="00252FCC" w:rsidRDefault="00252FCC" w:rsidP="00CA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C7D"/>
    <w:multiLevelType w:val="hybridMultilevel"/>
    <w:tmpl w:val="DCD0D0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805FF6"/>
    <w:multiLevelType w:val="hybridMultilevel"/>
    <w:tmpl w:val="7CE83E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F1FD1"/>
    <w:multiLevelType w:val="hybridMultilevel"/>
    <w:tmpl w:val="8A1CB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802EB"/>
    <w:multiLevelType w:val="hybridMultilevel"/>
    <w:tmpl w:val="1C0EA16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2247422B"/>
    <w:multiLevelType w:val="hybridMultilevel"/>
    <w:tmpl w:val="B900ED88"/>
    <w:lvl w:ilvl="0" w:tplc="F7E22A8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F6D72"/>
    <w:multiLevelType w:val="hybridMultilevel"/>
    <w:tmpl w:val="FEBC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D0278"/>
    <w:multiLevelType w:val="hybridMultilevel"/>
    <w:tmpl w:val="6A7235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F0390B"/>
    <w:multiLevelType w:val="hybridMultilevel"/>
    <w:tmpl w:val="3E1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0671E"/>
    <w:multiLevelType w:val="hybridMultilevel"/>
    <w:tmpl w:val="6AD4B2A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258050DA"/>
    <w:multiLevelType w:val="hybridMultilevel"/>
    <w:tmpl w:val="0DAAA010"/>
    <w:lvl w:ilvl="0" w:tplc="08090001">
      <w:start w:val="1"/>
      <w:numFmt w:val="bullet"/>
      <w:lvlText w:val=""/>
      <w:lvlJc w:val="left"/>
      <w:pPr>
        <w:tabs>
          <w:tab w:val="num" w:pos="0"/>
        </w:tabs>
        <w:ind w:left="0" w:firstLine="0"/>
      </w:pPr>
      <w:rPr>
        <w:rFonts w:ascii="Symbol" w:hAnsi="Symbo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E56EBA"/>
    <w:multiLevelType w:val="hybridMultilevel"/>
    <w:tmpl w:val="5A8AC2A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29D35173"/>
    <w:multiLevelType w:val="hybridMultilevel"/>
    <w:tmpl w:val="9B04630A"/>
    <w:lvl w:ilvl="0" w:tplc="D5B2B24C">
      <w:start w:val="1"/>
      <w:numFmt w:val="decimal"/>
      <w:pStyle w:val="AnnexD"/>
      <w:lvlText w:val="%1."/>
      <w:lvlJc w:val="left"/>
      <w:pPr>
        <w:tabs>
          <w:tab w:val="num" w:pos="774"/>
        </w:tabs>
        <w:ind w:left="774" w:hanging="774"/>
      </w:pPr>
      <w:rPr>
        <w:rFonts w:ascii="Calibri" w:hAnsi="Calibri" w:hint="default"/>
        <w:b w:val="0"/>
        <w:i w:val="0"/>
        <w:color w:val="00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6B3431"/>
    <w:multiLevelType w:val="hybridMultilevel"/>
    <w:tmpl w:val="127EB6D4"/>
    <w:lvl w:ilvl="0" w:tplc="08090001">
      <w:start w:val="1"/>
      <w:numFmt w:val="bullet"/>
      <w:lvlText w:val=""/>
      <w:lvlJc w:val="left"/>
      <w:pPr>
        <w:tabs>
          <w:tab w:val="num" w:pos="1494"/>
        </w:tabs>
        <w:ind w:left="1494" w:hanging="774"/>
      </w:pPr>
      <w:rPr>
        <w:rFonts w:ascii="Symbol" w:hAnsi="Symbol" w:hint="default"/>
        <w:b w:val="0"/>
        <w:i w:val="0"/>
        <w:color w:val="000000"/>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3093386F"/>
    <w:multiLevelType w:val="singleLevel"/>
    <w:tmpl w:val="0628A97E"/>
    <w:lvl w:ilvl="0">
      <w:start w:val="1"/>
      <w:numFmt w:val="decimal"/>
      <w:lvlText w:val="%1."/>
      <w:lvlJc w:val="left"/>
      <w:pPr>
        <w:tabs>
          <w:tab w:val="num" w:pos="928"/>
        </w:tabs>
        <w:ind w:left="928" w:hanging="360"/>
      </w:pPr>
      <w:rPr>
        <w:rFonts w:ascii="Arial" w:hAnsi="Arial" w:cs="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93352A"/>
    <w:multiLevelType w:val="hybridMultilevel"/>
    <w:tmpl w:val="F0BCEB06"/>
    <w:lvl w:ilvl="0" w:tplc="B3F8B99A">
      <w:start w:val="1"/>
      <w:numFmt w:val="decimal"/>
      <w:lvlText w:val="1.%1."/>
      <w:lvlJc w:val="left"/>
      <w:pPr>
        <w:ind w:left="360" w:hanging="360"/>
      </w:pPr>
      <w:rPr>
        <w:rFonts w:hint="default"/>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472B4A"/>
    <w:multiLevelType w:val="hybridMultilevel"/>
    <w:tmpl w:val="CD305CB0"/>
    <w:lvl w:ilvl="0" w:tplc="975AE896">
      <w:start w:val="1"/>
      <w:numFmt w:val="decimal"/>
      <w:lvlText w:val="5.%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A41"/>
    <w:multiLevelType w:val="hybridMultilevel"/>
    <w:tmpl w:val="962A7696"/>
    <w:lvl w:ilvl="0" w:tplc="C284DA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82755"/>
    <w:multiLevelType w:val="hybridMultilevel"/>
    <w:tmpl w:val="456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F0931"/>
    <w:multiLevelType w:val="hybridMultilevel"/>
    <w:tmpl w:val="92100152"/>
    <w:lvl w:ilvl="0" w:tplc="E6CCBF4A">
      <w:start w:val="1"/>
      <w:numFmt w:val="decimal"/>
      <w:lvlText w:val="%1."/>
      <w:lvlJc w:val="left"/>
      <w:pPr>
        <w:tabs>
          <w:tab w:val="num" w:pos="720"/>
        </w:tabs>
        <w:ind w:left="720" w:hanging="360"/>
      </w:pPr>
    </w:lvl>
    <w:lvl w:ilvl="1" w:tplc="F7DC4B24" w:tentative="1">
      <w:start w:val="1"/>
      <w:numFmt w:val="decimal"/>
      <w:lvlText w:val="%2."/>
      <w:lvlJc w:val="left"/>
      <w:pPr>
        <w:tabs>
          <w:tab w:val="num" w:pos="1440"/>
        </w:tabs>
        <w:ind w:left="1440" w:hanging="360"/>
      </w:pPr>
    </w:lvl>
    <w:lvl w:ilvl="2" w:tplc="26CCBBBA" w:tentative="1">
      <w:start w:val="1"/>
      <w:numFmt w:val="decimal"/>
      <w:lvlText w:val="%3."/>
      <w:lvlJc w:val="left"/>
      <w:pPr>
        <w:tabs>
          <w:tab w:val="num" w:pos="2160"/>
        </w:tabs>
        <w:ind w:left="2160" w:hanging="360"/>
      </w:pPr>
    </w:lvl>
    <w:lvl w:ilvl="3" w:tplc="72966A0C" w:tentative="1">
      <w:start w:val="1"/>
      <w:numFmt w:val="decimal"/>
      <w:lvlText w:val="%4."/>
      <w:lvlJc w:val="left"/>
      <w:pPr>
        <w:tabs>
          <w:tab w:val="num" w:pos="2880"/>
        </w:tabs>
        <w:ind w:left="2880" w:hanging="360"/>
      </w:pPr>
    </w:lvl>
    <w:lvl w:ilvl="4" w:tplc="D4CE7D48" w:tentative="1">
      <w:start w:val="1"/>
      <w:numFmt w:val="decimal"/>
      <w:lvlText w:val="%5."/>
      <w:lvlJc w:val="left"/>
      <w:pPr>
        <w:tabs>
          <w:tab w:val="num" w:pos="3600"/>
        </w:tabs>
        <w:ind w:left="3600" w:hanging="360"/>
      </w:pPr>
    </w:lvl>
    <w:lvl w:ilvl="5" w:tplc="C6D20B92" w:tentative="1">
      <w:start w:val="1"/>
      <w:numFmt w:val="decimal"/>
      <w:lvlText w:val="%6."/>
      <w:lvlJc w:val="left"/>
      <w:pPr>
        <w:tabs>
          <w:tab w:val="num" w:pos="4320"/>
        </w:tabs>
        <w:ind w:left="4320" w:hanging="360"/>
      </w:pPr>
    </w:lvl>
    <w:lvl w:ilvl="6" w:tplc="305EF66E" w:tentative="1">
      <w:start w:val="1"/>
      <w:numFmt w:val="decimal"/>
      <w:lvlText w:val="%7."/>
      <w:lvlJc w:val="left"/>
      <w:pPr>
        <w:tabs>
          <w:tab w:val="num" w:pos="5040"/>
        </w:tabs>
        <w:ind w:left="5040" w:hanging="360"/>
      </w:pPr>
    </w:lvl>
    <w:lvl w:ilvl="7" w:tplc="8DB2890C" w:tentative="1">
      <w:start w:val="1"/>
      <w:numFmt w:val="decimal"/>
      <w:lvlText w:val="%8."/>
      <w:lvlJc w:val="left"/>
      <w:pPr>
        <w:tabs>
          <w:tab w:val="num" w:pos="5760"/>
        </w:tabs>
        <w:ind w:left="5760" w:hanging="360"/>
      </w:pPr>
    </w:lvl>
    <w:lvl w:ilvl="8" w:tplc="FB2A480A" w:tentative="1">
      <w:start w:val="1"/>
      <w:numFmt w:val="decimal"/>
      <w:lvlText w:val="%9."/>
      <w:lvlJc w:val="left"/>
      <w:pPr>
        <w:tabs>
          <w:tab w:val="num" w:pos="6480"/>
        </w:tabs>
        <w:ind w:left="6480" w:hanging="360"/>
      </w:pPr>
    </w:lvl>
  </w:abstractNum>
  <w:abstractNum w:abstractNumId="21" w15:restartNumberingAfterBreak="0">
    <w:nsid w:val="3DBE75B6"/>
    <w:multiLevelType w:val="hybridMultilevel"/>
    <w:tmpl w:val="F58CA04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A6067"/>
    <w:multiLevelType w:val="hybridMultilevel"/>
    <w:tmpl w:val="1C9A8D24"/>
    <w:lvl w:ilvl="0" w:tplc="D5628CBA">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9114890"/>
    <w:multiLevelType w:val="hybridMultilevel"/>
    <w:tmpl w:val="CEF64188"/>
    <w:lvl w:ilvl="0" w:tplc="31F02650">
      <w:start w:val="1"/>
      <w:numFmt w:val="decimal"/>
      <w:lvlText w:val="%1."/>
      <w:lvlJc w:val="left"/>
      <w:pPr>
        <w:ind w:left="720" w:hanging="360"/>
      </w:pPr>
      <w:rPr>
        <w:rFonts w:ascii="Calibri" w:hAnsi="Calibri" w:hint="default"/>
        <w:sz w:val="22"/>
        <w:szCs w:val="22"/>
      </w:rPr>
    </w:lvl>
    <w:lvl w:ilvl="1" w:tplc="8F5AEAD6">
      <w:start w:val="1"/>
      <w:numFmt w:val="bullet"/>
      <w:lvlText w:val="o"/>
      <w:lvlJc w:val="left"/>
      <w:pPr>
        <w:ind w:left="1440" w:hanging="360"/>
      </w:pPr>
      <w:rPr>
        <w:rFonts w:ascii="Calibri" w:hAnsi="Calibri"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F30F8"/>
    <w:multiLevelType w:val="hybridMultilevel"/>
    <w:tmpl w:val="F356AB50"/>
    <w:lvl w:ilvl="0" w:tplc="CE120172">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85E40"/>
    <w:multiLevelType w:val="hybridMultilevel"/>
    <w:tmpl w:val="431295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76E63"/>
    <w:multiLevelType w:val="hybridMultilevel"/>
    <w:tmpl w:val="1F4C255A"/>
    <w:lvl w:ilvl="0" w:tplc="24647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C33993"/>
    <w:multiLevelType w:val="hybridMultilevel"/>
    <w:tmpl w:val="071E639C"/>
    <w:lvl w:ilvl="0" w:tplc="08090001">
      <w:start w:val="1"/>
      <w:numFmt w:val="bullet"/>
      <w:lvlText w:val=""/>
      <w:lvlJc w:val="left"/>
      <w:pPr>
        <w:tabs>
          <w:tab w:val="num" w:pos="2208"/>
        </w:tabs>
        <w:ind w:left="2208" w:hanging="774"/>
      </w:pPr>
      <w:rPr>
        <w:rFonts w:ascii="Symbol" w:hAnsi="Symbol" w:hint="default"/>
        <w:b w:val="0"/>
        <w:i w:val="0"/>
        <w:color w:val="000000"/>
        <w:sz w:val="22"/>
      </w:rPr>
    </w:lvl>
    <w:lvl w:ilvl="1" w:tplc="08090019" w:tentative="1">
      <w:start w:val="1"/>
      <w:numFmt w:val="lowerLetter"/>
      <w:lvlText w:val="%2."/>
      <w:lvlJc w:val="left"/>
      <w:pPr>
        <w:tabs>
          <w:tab w:val="num" w:pos="2874"/>
        </w:tabs>
        <w:ind w:left="2874" w:hanging="360"/>
      </w:pPr>
    </w:lvl>
    <w:lvl w:ilvl="2" w:tplc="0809001B" w:tentative="1">
      <w:start w:val="1"/>
      <w:numFmt w:val="lowerRoman"/>
      <w:lvlText w:val="%3."/>
      <w:lvlJc w:val="right"/>
      <w:pPr>
        <w:tabs>
          <w:tab w:val="num" w:pos="3594"/>
        </w:tabs>
        <w:ind w:left="3594" w:hanging="180"/>
      </w:pPr>
    </w:lvl>
    <w:lvl w:ilvl="3" w:tplc="0809000F" w:tentative="1">
      <w:start w:val="1"/>
      <w:numFmt w:val="decimal"/>
      <w:lvlText w:val="%4."/>
      <w:lvlJc w:val="left"/>
      <w:pPr>
        <w:tabs>
          <w:tab w:val="num" w:pos="4314"/>
        </w:tabs>
        <w:ind w:left="4314" w:hanging="360"/>
      </w:pPr>
    </w:lvl>
    <w:lvl w:ilvl="4" w:tplc="08090019" w:tentative="1">
      <w:start w:val="1"/>
      <w:numFmt w:val="lowerLetter"/>
      <w:lvlText w:val="%5."/>
      <w:lvlJc w:val="left"/>
      <w:pPr>
        <w:tabs>
          <w:tab w:val="num" w:pos="5034"/>
        </w:tabs>
        <w:ind w:left="5034" w:hanging="360"/>
      </w:pPr>
    </w:lvl>
    <w:lvl w:ilvl="5" w:tplc="0809001B" w:tentative="1">
      <w:start w:val="1"/>
      <w:numFmt w:val="lowerRoman"/>
      <w:lvlText w:val="%6."/>
      <w:lvlJc w:val="right"/>
      <w:pPr>
        <w:tabs>
          <w:tab w:val="num" w:pos="5754"/>
        </w:tabs>
        <w:ind w:left="5754" w:hanging="180"/>
      </w:pPr>
    </w:lvl>
    <w:lvl w:ilvl="6" w:tplc="0809000F" w:tentative="1">
      <w:start w:val="1"/>
      <w:numFmt w:val="decimal"/>
      <w:lvlText w:val="%7."/>
      <w:lvlJc w:val="left"/>
      <w:pPr>
        <w:tabs>
          <w:tab w:val="num" w:pos="6474"/>
        </w:tabs>
        <w:ind w:left="6474" w:hanging="360"/>
      </w:pPr>
    </w:lvl>
    <w:lvl w:ilvl="7" w:tplc="08090019" w:tentative="1">
      <w:start w:val="1"/>
      <w:numFmt w:val="lowerLetter"/>
      <w:lvlText w:val="%8."/>
      <w:lvlJc w:val="left"/>
      <w:pPr>
        <w:tabs>
          <w:tab w:val="num" w:pos="7194"/>
        </w:tabs>
        <w:ind w:left="7194" w:hanging="360"/>
      </w:pPr>
    </w:lvl>
    <w:lvl w:ilvl="8" w:tplc="0809001B" w:tentative="1">
      <w:start w:val="1"/>
      <w:numFmt w:val="lowerRoman"/>
      <w:lvlText w:val="%9."/>
      <w:lvlJc w:val="right"/>
      <w:pPr>
        <w:tabs>
          <w:tab w:val="num" w:pos="7914"/>
        </w:tabs>
        <w:ind w:left="7914" w:hanging="180"/>
      </w:pPr>
    </w:lvl>
  </w:abstractNum>
  <w:abstractNum w:abstractNumId="28" w15:restartNumberingAfterBreak="0">
    <w:nsid w:val="537C1443"/>
    <w:multiLevelType w:val="hybridMultilevel"/>
    <w:tmpl w:val="463828AC"/>
    <w:lvl w:ilvl="0" w:tplc="AD52A2F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202661"/>
    <w:multiLevelType w:val="hybridMultilevel"/>
    <w:tmpl w:val="FF88AF12"/>
    <w:lvl w:ilvl="0" w:tplc="246474A6">
      <w:start w:val="1"/>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A8033C"/>
    <w:multiLevelType w:val="hybridMultilevel"/>
    <w:tmpl w:val="73D87E9A"/>
    <w:lvl w:ilvl="0" w:tplc="48CE7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DC5F22"/>
    <w:multiLevelType w:val="hybridMultilevel"/>
    <w:tmpl w:val="B7F81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AE00B0B"/>
    <w:multiLevelType w:val="hybridMultilevel"/>
    <w:tmpl w:val="4A4A8146"/>
    <w:lvl w:ilvl="0" w:tplc="CEFC44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565EA7"/>
    <w:multiLevelType w:val="hybridMultilevel"/>
    <w:tmpl w:val="5C6C2136"/>
    <w:lvl w:ilvl="0" w:tplc="5EF0A648">
      <w:start w:val="1"/>
      <w:numFmt w:val="decimal"/>
      <w:pStyle w:val="Number3"/>
      <w:lvlText w:val="3.%1"/>
      <w:lvlJc w:val="left"/>
      <w:pPr>
        <w:tabs>
          <w:tab w:val="num" w:pos="774"/>
        </w:tabs>
        <w:ind w:left="774" w:hanging="774"/>
      </w:pPr>
      <w:rPr>
        <w:rFonts w:ascii="Arial" w:hAnsi="Arial" w:hint="default"/>
        <w:b/>
        <w:i w:val="0"/>
        <w:color w:val="000000"/>
      </w:rPr>
    </w:lvl>
    <w:lvl w:ilvl="1" w:tplc="28FEE598" w:tentative="1">
      <w:start w:val="1"/>
      <w:numFmt w:val="lowerLetter"/>
      <w:lvlText w:val="%2."/>
      <w:lvlJc w:val="left"/>
      <w:pPr>
        <w:tabs>
          <w:tab w:val="num" w:pos="1440"/>
        </w:tabs>
        <w:ind w:left="1440" w:hanging="360"/>
      </w:pPr>
    </w:lvl>
    <w:lvl w:ilvl="2" w:tplc="869A38C8" w:tentative="1">
      <w:start w:val="1"/>
      <w:numFmt w:val="lowerRoman"/>
      <w:lvlText w:val="%3."/>
      <w:lvlJc w:val="right"/>
      <w:pPr>
        <w:tabs>
          <w:tab w:val="num" w:pos="2160"/>
        </w:tabs>
        <w:ind w:left="2160" w:hanging="180"/>
      </w:pPr>
    </w:lvl>
    <w:lvl w:ilvl="3" w:tplc="A6324048" w:tentative="1">
      <w:start w:val="1"/>
      <w:numFmt w:val="decimal"/>
      <w:lvlText w:val="%4."/>
      <w:lvlJc w:val="left"/>
      <w:pPr>
        <w:tabs>
          <w:tab w:val="num" w:pos="2880"/>
        </w:tabs>
        <w:ind w:left="2880" w:hanging="360"/>
      </w:pPr>
    </w:lvl>
    <w:lvl w:ilvl="4" w:tplc="882EE614" w:tentative="1">
      <w:start w:val="1"/>
      <w:numFmt w:val="lowerLetter"/>
      <w:lvlText w:val="%5."/>
      <w:lvlJc w:val="left"/>
      <w:pPr>
        <w:tabs>
          <w:tab w:val="num" w:pos="3600"/>
        </w:tabs>
        <w:ind w:left="3600" w:hanging="360"/>
      </w:pPr>
    </w:lvl>
    <w:lvl w:ilvl="5" w:tplc="48FEC38E" w:tentative="1">
      <w:start w:val="1"/>
      <w:numFmt w:val="lowerRoman"/>
      <w:lvlText w:val="%6."/>
      <w:lvlJc w:val="right"/>
      <w:pPr>
        <w:tabs>
          <w:tab w:val="num" w:pos="4320"/>
        </w:tabs>
        <w:ind w:left="4320" w:hanging="180"/>
      </w:pPr>
    </w:lvl>
    <w:lvl w:ilvl="6" w:tplc="999A2E7E" w:tentative="1">
      <w:start w:val="1"/>
      <w:numFmt w:val="decimal"/>
      <w:lvlText w:val="%7."/>
      <w:lvlJc w:val="left"/>
      <w:pPr>
        <w:tabs>
          <w:tab w:val="num" w:pos="5040"/>
        </w:tabs>
        <w:ind w:left="5040" w:hanging="360"/>
      </w:pPr>
    </w:lvl>
    <w:lvl w:ilvl="7" w:tplc="16727650" w:tentative="1">
      <w:start w:val="1"/>
      <w:numFmt w:val="lowerLetter"/>
      <w:lvlText w:val="%8."/>
      <w:lvlJc w:val="left"/>
      <w:pPr>
        <w:tabs>
          <w:tab w:val="num" w:pos="5760"/>
        </w:tabs>
        <w:ind w:left="5760" w:hanging="360"/>
      </w:pPr>
    </w:lvl>
    <w:lvl w:ilvl="8" w:tplc="479A3DCA" w:tentative="1">
      <w:start w:val="1"/>
      <w:numFmt w:val="lowerRoman"/>
      <w:lvlText w:val="%9."/>
      <w:lvlJc w:val="right"/>
      <w:pPr>
        <w:tabs>
          <w:tab w:val="num" w:pos="6480"/>
        </w:tabs>
        <w:ind w:left="6480" w:hanging="180"/>
      </w:pPr>
    </w:lvl>
  </w:abstractNum>
  <w:abstractNum w:abstractNumId="35" w15:restartNumberingAfterBreak="0">
    <w:nsid w:val="5F494A19"/>
    <w:multiLevelType w:val="hybridMultilevel"/>
    <w:tmpl w:val="3C94742A"/>
    <w:lvl w:ilvl="0" w:tplc="26BC7A68">
      <w:start w:val="1"/>
      <w:numFmt w:val="decimal"/>
      <w:lvlText w:val="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532BCB"/>
    <w:multiLevelType w:val="hybridMultilevel"/>
    <w:tmpl w:val="C3A63C82"/>
    <w:lvl w:ilvl="0" w:tplc="CA8036CA">
      <w:start w:val="1"/>
      <w:numFmt w:val="decimal"/>
      <w:lvlText w:val="2.%1."/>
      <w:lvlJc w:val="left"/>
      <w:pPr>
        <w:ind w:left="36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9F2BAE"/>
    <w:multiLevelType w:val="hybridMultilevel"/>
    <w:tmpl w:val="8B269196"/>
    <w:lvl w:ilvl="0" w:tplc="B9AED8BE">
      <w:start w:val="1"/>
      <w:numFmt w:val="decimal"/>
      <w:pStyle w:val="Number2"/>
      <w:lvlText w:val="2.%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57B5DD8"/>
    <w:multiLevelType w:val="hybridMultilevel"/>
    <w:tmpl w:val="CA304AE8"/>
    <w:lvl w:ilvl="0" w:tplc="43AC6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DB0AE3"/>
    <w:multiLevelType w:val="hybridMultilevel"/>
    <w:tmpl w:val="0FF69D26"/>
    <w:lvl w:ilvl="0" w:tplc="05AAC466">
      <w:start w:val="1"/>
      <w:numFmt w:val="bullet"/>
      <w:pStyle w:val="Bulletsecondary"/>
      <w:lvlText w:val=""/>
      <w:lvlJc w:val="left"/>
      <w:pPr>
        <w:tabs>
          <w:tab w:val="num" w:pos="2055"/>
        </w:tabs>
        <w:ind w:left="2055" w:hanging="352"/>
      </w:pPr>
      <w:rPr>
        <w:rFonts w:ascii="Symbol" w:hAnsi="Symbol" w:hint="default"/>
        <w:b w:val="0"/>
        <w:i w:val="0"/>
        <w:color w:val="333333"/>
        <w:sz w:val="20"/>
        <w:szCs w:val="24"/>
      </w:rPr>
    </w:lvl>
    <w:lvl w:ilvl="1" w:tplc="08090019">
      <w:start w:val="1"/>
      <w:numFmt w:val="bullet"/>
      <w:lvlText w:val="-"/>
      <w:lvlJc w:val="left"/>
      <w:pPr>
        <w:tabs>
          <w:tab w:val="num" w:pos="2644"/>
        </w:tabs>
        <w:ind w:left="2644" w:hanging="360"/>
      </w:pPr>
      <w:rPr>
        <w:rFonts w:ascii="Arial" w:hAnsi="Arial" w:hint="default"/>
        <w:color w:val="808080"/>
        <w:sz w:val="24"/>
        <w:szCs w:val="24"/>
      </w:rPr>
    </w:lvl>
    <w:lvl w:ilvl="2" w:tplc="0809001B">
      <w:start w:val="1"/>
      <w:numFmt w:val="decimal"/>
      <w:lvlText w:val="%3."/>
      <w:lvlJc w:val="left"/>
      <w:pPr>
        <w:tabs>
          <w:tab w:val="num" w:pos="3364"/>
        </w:tabs>
        <w:ind w:left="3364" w:hanging="360"/>
      </w:pPr>
    </w:lvl>
    <w:lvl w:ilvl="3" w:tplc="0809000F">
      <w:start w:val="1"/>
      <w:numFmt w:val="decimal"/>
      <w:lvlText w:val="%4."/>
      <w:lvlJc w:val="left"/>
      <w:pPr>
        <w:tabs>
          <w:tab w:val="num" w:pos="4084"/>
        </w:tabs>
        <w:ind w:left="4084" w:hanging="360"/>
      </w:pPr>
    </w:lvl>
    <w:lvl w:ilvl="4" w:tplc="08090019">
      <w:start w:val="1"/>
      <w:numFmt w:val="decimal"/>
      <w:lvlText w:val="%5."/>
      <w:lvlJc w:val="left"/>
      <w:pPr>
        <w:tabs>
          <w:tab w:val="num" w:pos="4804"/>
        </w:tabs>
        <w:ind w:left="4804" w:hanging="360"/>
      </w:pPr>
    </w:lvl>
    <w:lvl w:ilvl="5" w:tplc="0809001B">
      <w:start w:val="1"/>
      <w:numFmt w:val="decimal"/>
      <w:lvlText w:val="%6."/>
      <w:lvlJc w:val="left"/>
      <w:pPr>
        <w:tabs>
          <w:tab w:val="num" w:pos="5524"/>
        </w:tabs>
        <w:ind w:left="5524" w:hanging="360"/>
      </w:pPr>
    </w:lvl>
    <w:lvl w:ilvl="6" w:tplc="0809000F">
      <w:start w:val="1"/>
      <w:numFmt w:val="decimal"/>
      <w:lvlText w:val="%7."/>
      <w:lvlJc w:val="left"/>
      <w:pPr>
        <w:tabs>
          <w:tab w:val="num" w:pos="6244"/>
        </w:tabs>
        <w:ind w:left="6244" w:hanging="360"/>
      </w:pPr>
    </w:lvl>
    <w:lvl w:ilvl="7" w:tplc="08090019">
      <w:start w:val="1"/>
      <w:numFmt w:val="decimal"/>
      <w:lvlText w:val="%8."/>
      <w:lvlJc w:val="left"/>
      <w:pPr>
        <w:tabs>
          <w:tab w:val="num" w:pos="6964"/>
        </w:tabs>
        <w:ind w:left="6964" w:hanging="360"/>
      </w:pPr>
    </w:lvl>
    <w:lvl w:ilvl="8" w:tplc="0809001B">
      <w:start w:val="1"/>
      <w:numFmt w:val="decimal"/>
      <w:lvlText w:val="%9."/>
      <w:lvlJc w:val="left"/>
      <w:pPr>
        <w:tabs>
          <w:tab w:val="num" w:pos="7684"/>
        </w:tabs>
        <w:ind w:left="7684" w:hanging="360"/>
      </w:pPr>
    </w:lvl>
  </w:abstractNum>
  <w:abstractNum w:abstractNumId="40" w15:restartNumberingAfterBreak="0">
    <w:nsid w:val="7717767E"/>
    <w:multiLevelType w:val="hybridMultilevel"/>
    <w:tmpl w:val="275C65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A916F17"/>
    <w:multiLevelType w:val="hybridMultilevel"/>
    <w:tmpl w:val="36E2F53E"/>
    <w:lvl w:ilvl="0" w:tplc="08090001">
      <w:start w:val="1"/>
      <w:numFmt w:val="bullet"/>
      <w:lvlText w:val=""/>
      <w:lvlJc w:val="left"/>
      <w:pPr>
        <w:ind w:left="1174" w:hanging="360"/>
      </w:pPr>
      <w:rPr>
        <w:rFonts w:ascii="Symbol" w:hAnsi="Symbol" w:hint="default"/>
      </w:rPr>
    </w:lvl>
    <w:lvl w:ilvl="1" w:tplc="08090019">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2" w15:restartNumberingAfterBreak="0">
    <w:nsid w:val="7A9D3075"/>
    <w:multiLevelType w:val="hybridMultilevel"/>
    <w:tmpl w:val="61EC29A8"/>
    <w:lvl w:ilvl="0" w:tplc="08090001">
      <w:start w:val="1"/>
      <w:numFmt w:val="bullet"/>
      <w:lvlText w:val=""/>
      <w:lvlJc w:val="left"/>
      <w:pPr>
        <w:tabs>
          <w:tab w:val="num" w:pos="1494"/>
        </w:tabs>
        <w:ind w:left="1494" w:hanging="774"/>
      </w:pPr>
      <w:rPr>
        <w:rFonts w:ascii="Symbol" w:hAnsi="Symbol" w:hint="default"/>
        <w:b w:val="0"/>
        <w:i w:val="0"/>
        <w:color w:val="000000"/>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9"/>
  </w:num>
  <w:num w:numId="2">
    <w:abstractNumId w:val="39"/>
  </w:num>
  <w:num w:numId="3">
    <w:abstractNumId w:val="13"/>
  </w:num>
  <w:num w:numId="4">
    <w:abstractNumId w:val="22"/>
  </w:num>
  <w:num w:numId="5">
    <w:abstractNumId w:val="16"/>
  </w:num>
  <w:num w:numId="6">
    <w:abstractNumId w:val="3"/>
  </w:num>
  <w:num w:numId="7">
    <w:abstractNumId w:val="27"/>
  </w:num>
  <w:num w:numId="8">
    <w:abstractNumId w:val="42"/>
  </w:num>
  <w:num w:numId="9">
    <w:abstractNumId w:val="14"/>
  </w:num>
  <w:num w:numId="10">
    <w:abstractNumId w:val="15"/>
  </w:num>
  <w:num w:numId="11">
    <w:abstractNumId w:val="5"/>
  </w:num>
  <w:num w:numId="12">
    <w:abstractNumId w:val="15"/>
    <w:lvlOverride w:ilvl="0">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1"/>
  </w:num>
  <w:num w:numId="16">
    <w:abstractNumId w:val="7"/>
  </w:num>
  <w:num w:numId="17">
    <w:abstractNumId w:val="4"/>
  </w:num>
  <w:num w:numId="18">
    <w:abstractNumId w:val="26"/>
  </w:num>
  <w:num w:numId="19">
    <w:abstractNumId w:val="2"/>
  </w:num>
  <w:num w:numId="20">
    <w:abstractNumId w:val="11"/>
  </w:num>
  <w:num w:numId="21">
    <w:abstractNumId w:val="32"/>
  </w:num>
  <w:num w:numId="22">
    <w:abstractNumId w:val="10"/>
  </w:num>
  <w:num w:numId="23">
    <w:abstractNumId w:val="41"/>
  </w:num>
  <w:num w:numId="24">
    <w:abstractNumId w:val="1"/>
  </w:num>
  <w:num w:numId="25">
    <w:abstractNumId w:val="37"/>
  </w:num>
  <w:num w:numId="26">
    <w:abstractNumId w:val="8"/>
  </w:num>
  <w:num w:numId="27">
    <w:abstractNumId w:val="24"/>
  </w:num>
  <w:num w:numId="28">
    <w:abstractNumId w:val="34"/>
  </w:num>
  <w:num w:numId="29">
    <w:abstractNumId w:val="18"/>
  </w:num>
  <w:num w:numId="30">
    <w:abstractNumId w:val="9"/>
  </w:num>
  <w:num w:numId="31">
    <w:abstractNumId w:val="38"/>
  </w:num>
  <w:num w:numId="32">
    <w:abstractNumId w:val="36"/>
  </w:num>
  <w:num w:numId="33">
    <w:abstractNumId w:val="35"/>
  </w:num>
  <w:num w:numId="34">
    <w:abstractNumId w:val="17"/>
  </w:num>
  <w:num w:numId="35">
    <w:abstractNumId w:val="30"/>
  </w:num>
  <w:num w:numId="36">
    <w:abstractNumId w:val="29"/>
  </w:num>
  <w:num w:numId="37">
    <w:abstractNumId w:val="6"/>
  </w:num>
  <w:num w:numId="38">
    <w:abstractNumId w:val="25"/>
  </w:num>
  <w:num w:numId="39">
    <w:abstractNumId w:val="33"/>
  </w:num>
  <w:num w:numId="40">
    <w:abstractNumId w:val="23"/>
  </w:num>
  <w:num w:numId="41">
    <w:abstractNumId w:val="20"/>
  </w:num>
  <w:num w:numId="42">
    <w:abstractNumId w:val="0"/>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0A"/>
    <w:rsid w:val="00001158"/>
    <w:rsid w:val="00001599"/>
    <w:rsid w:val="00013EC4"/>
    <w:rsid w:val="000142C1"/>
    <w:rsid w:val="00020048"/>
    <w:rsid w:val="00025237"/>
    <w:rsid w:val="00025BBC"/>
    <w:rsid w:val="00037735"/>
    <w:rsid w:val="00046430"/>
    <w:rsid w:val="00046473"/>
    <w:rsid w:val="00053ACE"/>
    <w:rsid w:val="00053C0F"/>
    <w:rsid w:val="000566A8"/>
    <w:rsid w:val="00062442"/>
    <w:rsid w:val="00066456"/>
    <w:rsid w:val="00067E48"/>
    <w:rsid w:val="00076F14"/>
    <w:rsid w:val="00082CDA"/>
    <w:rsid w:val="00083032"/>
    <w:rsid w:val="00083BA6"/>
    <w:rsid w:val="00086036"/>
    <w:rsid w:val="0009191C"/>
    <w:rsid w:val="00091DCF"/>
    <w:rsid w:val="00093FB2"/>
    <w:rsid w:val="00096BAB"/>
    <w:rsid w:val="000A7744"/>
    <w:rsid w:val="000B140A"/>
    <w:rsid w:val="000C01A8"/>
    <w:rsid w:val="000C091F"/>
    <w:rsid w:val="000C1AA2"/>
    <w:rsid w:val="000C2B18"/>
    <w:rsid w:val="000C378C"/>
    <w:rsid w:val="000C4870"/>
    <w:rsid w:val="000D28B4"/>
    <w:rsid w:val="000D4C93"/>
    <w:rsid w:val="000D5D46"/>
    <w:rsid w:val="000D6013"/>
    <w:rsid w:val="000D78F2"/>
    <w:rsid w:val="000E2B5D"/>
    <w:rsid w:val="000E73F0"/>
    <w:rsid w:val="000F0BE7"/>
    <w:rsid w:val="000F1685"/>
    <w:rsid w:val="0010170A"/>
    <w:rsid w:val="001028BF"/>
    <w:rsid w:val="00110634"/>
    <w:rsid w:val="00110E86"/>
    <w:rsid w:val="001113E3"/>
    <w:rsid w:val="00111B87"/>
    <w:rsid w:val="0011238E"/>
    <w:rsid w:val="001141EA"/>
    <w:rsid w:val="00114AEF"/>
    <w:rsid w:val="00116F1B"/>
    <w:rsid w:val="0012582E"/>
    <w:rsid w:val="00126C3B"/>
    <w:rsid w:val="00135425"/>
    <w:rsid w:val="00136DE8"/>
    <w:rsid w:val="001373CD"/>
    <w:rsid w:val="00141A39"/>
    <w:rsid w:val="0014310F"/>
    <w:rsid w:val="00147BFC"/>
    <w:rsid w:val="00150E7F"/>
    <w:rsid w:val="00152203"/>
    <w:rsid w:val="0015392A"/>
    <w:rsid w:val="00154367"/>
    <w:rsid w:val="001603E8"/>
    <w:rsid w:val="00163556"/>
    <w:rsid w:val="00173675"/>
    <w:rsid w:val="00174034"/>
    <w:rsid w:val="00176867"/>
    <w:rsid w:val="00176F82"/>
    <w:rsid w:val="001823AD"/>
    <w:rsid w:val="0018455F"/>
    <w:rsid w:val="001847E8"/>
    <w:rsid w:val="001952F9"/>
    <w:rsid w:val="00197F00"/>
    <w:rsid w:val="001A04A9"/>
    <w:rsid w:val="001A0FB2"/>
    <w:rsid w:val="001A2BB3"/>
    <w:rsid w:val="001A311F"/>
    <w:rsid w:val="001A38D2"/>
    <w:rsid w:val="001A6DE7"/>
    <w:rsid w:val="001B111D"/>
    <w:rsid w:val="001B2BFF"/>
    <w:rsid w:val="001B5899"/>
    <w:rsid w:val="001B6C76"/>
    <w:rsid w:val="001C038D"/>
    <w:rsid w:val="001C0CB2"/>
    <w:rsid w:val="001C2C90"/>
    <w:rsid w:val="001C4EB1"/>
    <w:rsid w:val="001C684E"/>
    <w:rsid w:val="001C7F52"/>
    <w:rsid w:val="001D0852"/>
    <w:rsid w:val="001D5073"/>
    <w:rsid w:val="001D7B63"/>
    <w:rsid w:val="001D7D65"/>
    <w:rsid w:val="001E392F"/>
    <w:rsid w:val="001F2428"/>
    <w:rsid w:val="001F678D"/>
    <w:rsid w:val="001F719A"/>
    <w:rsid w:val="001F7AA9"/>
    <w:rsid w:val="00200158"/>
    <w:rsid w:val="002038C9"/>
    <w:rsid w:val="00203D3C"/>
    <w:rsid w:val="00206D28"/>
    <w:rsid w:val="00210135"/>
    <w:rsid w:val="002104AC"/>
    <w:rsid w:val="00210F09"/>
    <w:rsid w:val="002110D3"/>
    <w:rsid w:val="002138F1"/>
    <w:rsid w:val="0021475B"/>
    <w:rsid w:val="00217735"/>
    <w:rsid w:val="00222A14"/>
    <w:rsid w:val="00222C9C"/>
    <w:rsid w:val="002276AB"/>
    <w:rsid w:val="00233140"/>
    <w:rsid w:val="002337CD"/>
    <w:rsid w:val="002404CB"/>
    <w:rsid w:val="0024344F"/>
    <w:rsid w:val="00244384"/>
    <w:rsid w:val="00246588"/>
    <w:rsid w:val="00252BBC"/>
    <w:rsid w:val="00252FCC"/>
    <w:rsid w:val="00253CB5"/>
    <w:rsid w:val="00255C1B"/>
    <w:rsid w:val="00257E36"/>
    <w:rsid w:val="002652A6"/>
    <w:rsid w:val="00271194"/>
    <w:rsid w:val="00282291"/>
    <w:rsid w:val="002905AA"/>
    <w:rsid w:val="00291CEE"/>
    <w:rsid w:val="002A01C0"/>
    <w:rsid w:val="002A4744"/>
    <w:rsid w:val="002B29DF"/>
    <w:rsid w:val="002B7B6F"/>
    <w:rsid w:val="002C0392"/>
    <w:rsid w:val="002C1F2F"/>
    <w:rsid w:val="002C2B40"/>
    <w:rsid w:val="002C5819"/>
    <w:rsid w:val="002C5B64"/>
    <w:rsid w:val="002D4967"/>
    <w:rsid w:val="002D5A4F"/>
    <w:rsid w:val="002E3F18"/>
    <w:rsid w:val="002F1112"/>
    <w:rsid w:val="003021D0"/>
    <w:rsid w:val="00304792"/>
    <w:rsid w:val="00327808"/>
    <w:rsid w:val="00330253"/>
    <w:rsid w:val="00331775"/>
    <w:rsid w:val="00331803"/>
    <w:rsid w:val="00332379"/>
    <w:rsid w:val="00333022"/>
    <w:rsid w:val="00335204"/>
    <w:rsid w:val="00335CC8"/>
    <w:rsid w:val="00336EF3"/>
    <w:rsid w:val="0033719D"/>
    <w:rsid w:val="00341E3C"/>
    <w:rsid w:val="00343962"/>
    <w:rsid w:val="00345158"/>
    <w:rsid w:val="00345854"/>
    <w:rsid w:val="00362797"/>
    <w:rsid w:val="0036430E"/>
    <w:rsid w:val="0037060C"/>
    <w:rsid w:val="00371E62"/>
    <w:rsid w:val="00375828"/>
    <w:rsid w:val="003760A4"/>
    <w:rsid w:val="0037628E"/>
    <w:rsid w:val="00381A67"/>
    <w:rsid w:val="00385FAF"/>
    <w:rsid w:val="00392ADE"/>
    <w:rsid w:val="00393F9E"/>
    <w:rsid w:val="003947BA"/>
    <w:rsid w:val="00396D08"/>
    <w:rsid w:val="003A0B75"/>
    <w:rsid w:val="003A19D4"/>
    <w:rsid w:val="003A5C30"/>
    <w:rsid w:val="003B28E7"/>
    <w:rsid w:val="003B4260"/>
    <w:rsid w:val="003B626A"/>
    <w:rsid w:val="003B68B5"/>
    <w:rsid w:val="003C1919"/>
    <w:rsid w:val="003D6878"/>
    <w:rsid w:val="003D6D2B"/>
    <w:rsid w:val="003D7487"/>
    <w:rsid w:val="003D76CB"/>
    <w:rsid w:val="003E08A5"/>
    <w:rsid w:val="003E359F"/>
    <w:rsid w:val="003E64F8"/>
    <w:rsid w:val="003F387B"/>
    <w:rsid w:val="003F4A2B"/>
    <w:rsid w:val="003F692B"/>
    <w:rsid w:val="00402E94"/>
    <w:rsid w:val="00403C68"/>
    <w:rsid w:val="00403D84"/>
    <w:rsid w:val="004076CE"/>
    <w:rsid w:val="00410149"/>
    <w:rsid w:val="004116E6"/>
    <w:rsid w:val="00412F3C"/>
    <w:rsid w:val="00415770"/>
    <w:rsid w:val="00415AB4"/>
    <w:rsid w:val="0041695E"/>
    <w:rsid w:val="00421F4C"/>
    <w:rsid w:val="004241AF"/>
    <w:rsid w:val="00446F38"/>
    <w:rsid w:val="004478E7"/>
    <w:rsid w:val="00453919"/>
    <w:rsid w:val="00453F48"/>
    <w:rsid w:val="0045632B"/>
    <w:rsid w:val="00456AFF"/>
    <w:rsid w:val="00467C3D"/>
    <w:rsid w:val="004712C8"/>
    <w:rsid w:val="004718FD"/>
    <w:rsid w:val="00473BE3"/>
    <w:rsid w:val="00473F25"/>
    <w:rsid w:val="004765DE"/>
    <w:rsid w:val="00480B65"/>
    <w:rsid w:val="0048235A"/>
    <w:rsid w:val="004868F1"/>
    <w:rsid w:val="00486EA0"/>
    <w:rsid w:val="004A1201"/>
    <w:rsid w:val="004A1853"/>
    <w:rsid w:val="004A2B24"/>
    <w:rsid w:val="004A4D2A"/>
    <w:rsid w:val="004A6B47"/>
    <w:rsid w:val="004B54CA"/>
    <w:rsid w:val="004B708E"/>
    <w:rsid w:val="004C7A12"/>
    <w:rsid w:val="004D3A72"/>
    <w:rsid w:val="004D4657"/>
    <w:rsid w:val="004D4841"/>
    <w:rsid w:val="004E0379"/>
    <w:rsid w:val="004E0C03"/>
    <w:rsid w:val="004E49E3"/>
    <w:rsid w:val="004F0148"/>
    <w:rsid w:val="004F2EBE"/>
    <w:rsid w:val="004F35D3"/>
    <w:rsid w:val="004F3E3C"/>
    <w:rsid w:val="004F6474"/>
    <w:rsid w:val="00500049"/>
    <w:rsid w:val="00501B5A"/>
    <w:rsid w:val="00513146"/>
    <w:rsid w:val="005220C5"/>
    <w:rsid w:val="00524061"/>
    <w:rsid w:val="005271A6"/>
    <w:rsid w:val="00532F1D"/>
    <w:rsid w:val="0053675D"/>
    <w:rsid w:val="005379C0"/>
    <w:rsid w:val="005421F6"/>
    <w:rsid w:val="005431BD"/>
    <w:rsid w:val="0054767A"/>
    <w:rsid w:val="00553D59"/>
    <w:rsid w:val="00555CE3"/>
    <w:rsid w:val="00560E9F"/>
    <w:rsid w:val="0056741B"/>
    <w:rsid w:val="00570581"/>
    <w:rsid w:val="00571E79"/>
    <w:rsid w:val="00572C4E"/>
    <w:rsid w:val="0057471A"/>
    <w:rsid w:val="005748F9"/>
    <w:rsid w:val="00585A37"/>
    <w:rsid w:val="00586E3B"/>
    <w:rsid w:val="00590521"/>
    <w:rsid w:val="00591EC9"/>
    <w:rsid w:val="00593D25"/>
    <w:rsid w:val="00595438"/>
    <w:rsid w:val="0059555E"/>
    <w:rsid w:val="00595605"/>
    <w:rsid w:val="00596AC8"/>
    <w:rsid w:val="00597B5B"/>
    <w:rsid w:val="005A0302"/>
    <w:rsid w:val="005A29DD"/>
    <w:rsid w:val="005A3088"/>
    <w:rsid w:val="005B2CC8"/>
    <w:rsid w:val="005B3A9F"/>
    <w:rsid w:val="005C1CD2"/>
    <w:rsid w:val="005C42DA"/>
    <w:rsid w:val="005C5F43"/>
    <w:rsid w:val="005C70E3"/>
    <w:rsid w:val="005E0ACE"/>
    <w:rsid w:val="005E5BC2"/>
    <w:rsid w:val="005E7F2B"/>
    <w:rsid w:val="005F40C8"/>
    <w:rsid w:val="005F5416"/>
    <w:rsid w:val="005F56A8"/>
    <w:rsid w:val="005F56F5"/>
    <w:rsid w:val="00602476"/>
    <w:rsid w:val="00604A75"/>
    <w:rsid w:val="00604F07"/>
    <w:rsid w:val="006117D0"/>
    <w:rsid w:val="006151CD"/>
    <w:rsid w:val="00617A1C"/>
    <w:rsid w:val="006220C0"/>
    <w:rsid w:val="00622BC1"/>
    <w:rsid w:val="00625E92"/>
    <w:rsid w:val="00634966"/>
    <w:rsid w:val="00637C0E"/>
    <w:rsid w:val="00640515"/>
    <w:rsid w:val="00640A46"/>
    <w:rsid w:val="00641011"/>
    <w:rsid w:val="00641291"/>
    <w:rsid w:val="00642E6E"/>
    <w:rsid w:val="006444BE"/>
    <w:rsid w:val="00652EB1"/>
    <w:rsid w:val="00654856"/>
    <w:rsid w:val="00657C80"/>
    <w:rsid w:val="006713E1"/>
    <w:rsid w:val="00673A6D"/>
    <w:rsid w:val="00674163"/>
    <w:rsid w:val="00675699"/>
    <w:rsid w:val="00680877"/>
    <w:rsid w:val="00682253"/>
    <w:rsid w:val="00682480"/>
    <w:rsid w:val="006829DA"/>
    <w:rsid w:val="006847CD"/>
    <w:rsid w:val="006904A3"/>
    <w:rsid w:val="00692AE4"/>
    <w:rsid w:val="006962B8"/>
    <w:rsid w:val="006A03BE"/>
    <w:rsid w:val="006A400B"/>
    <w:rsid w:val="006A5ECC"/>
    <w:rsid w:val="006A7AC3"/>
    <w:rsid w:val="006A7F8A"/>
    <w:rsid w:val="006B60EB"/>
    <w:rsid w:val="006C7386"/>
    <w:rsid w:val="006C7AC1"/>
    <w:rsid w:val="006D0036"/>
    <w:rsid w:val="006D0C7D"/>
    <w:rsid w:val="006D10F0"/>
    <w:rsid w:val="006D186F"/>
    <w:rsid w:val="006D4C9A"/>
    <w:rsid w:val="006D73E8"/>
    <w:rsid w:val="006D7F4E"/>
    <w:rsid w:val="006E0115"/>
    <w:rsid w:val="006E1C7C"/>
    <w:rsid w:val="006E2301"/>
    <w:rsid w:val="006E27BB"/>
    <w:rsid w:val="006E622F"/>
    <w:rsid w:val="006F438A"/>
    <w:rsid w:val="006F51D9"/>
    <w:rsid w:val="006F59AD"/>
    <w:rsid w:val="007039FD"/>
    <w:rsid w:val="00707DB6"/>
    <w:rsid w:val="007108C6"/>
    <w:rsid w:val="00711AB9"/>
    <w:rsid w:val="007175EE"/>
    <w:rsid w:val="00720501"/>
    <w:rsid w:val="00722894"/>
    <w:rsid w:val="007229CB"/>
    <w:rsid w:val="00723FCA"/>
    <w:rsid w:val="00730F60"/>
    <w:rsid w:val="00731E5E"/>
    <w:rsid w:val="00732A84"/>
    <w:rsid w:val="00733248"/>
    <w:rsid w:val="00733735"/>
    <w:rsid w:val="007341E2"/>
    <w:rsid w:val="00735733"/>
    <w:rsid w:val="007403CE"/>
    <w:rsid w:val="00740A53"/>
    <w:rsid w:val="007427C2"/>
    <w:rsid w:val="00746031"/>
    <w:rsid w:val="00751D72"/>
    <w:rsid w:val="00754892"/>
    <w:rsid w:val="00755415"/>
    <w:rsid w:val="007556FC"/>
    <w:rsid w:val="00756E7B"/>
    <w:rsid w:val="00756F85"/>
    <w:rsid w:val="007653E4"/>
    <w:rsid w:val="0076752C"/>
    <w:rsid w:val="00771042"/>
    <w:rsid w:val="00774DDC"/>
    <w:rsid w:val="00774FCF"/>
    <w:rsid w:val="007812E7"/>
    <w:rsid w:val="007861CA"/>
    <w:rsid w:val="00786AF4"/>
    <w:rsid w:val="00787E76"/>
    <w:rsid w:val="00791340"/>
    <w:rsid w:val="00791B6B"/>
    <w:rsid w:val="00792BE3"/>
    <w:rsid w:val="00793E5C"/>
    <w:rsid w:val="007949F6"/>
    <w:rsid w:val="00796757"/>
    <w:rsid w:val="007A0268"/>
    <w:rsid w:val="007A1D16"/>
    <w:rsid w:val="007A312C"/>
    <w:rsid w:val="007A5A18"/>
    <w:rsid w:val="007A5EDA"/>
    <w:rsid w:val="007A79DE"/>
    <w:rsid w:val="007B6933"/>
    <w:rsid w:val="007B7011"/>
    <w:rsid w:val="007C3E31"/>
    <w:rsid w:val="007C4220"/>
    <w:rsid w:val="007C7D9C"/>
    <w:rsid w:val="007D00F8"/>
    <w:rsid w:val="007D317C"/>
    <w:rsid w:val="007D3EE6"/>
    <w:rsid w:val="007D4B13"/>
    <w:rsid w:val="007D5F5A"/>
    <w:rsid w:val="007E0741"/>
    <w:rsid w:val="007F1AA0"/>
    <w:rsid w:val="007F3FBE"/>
    <w:rsid w:val="007F501A"/>
    <w:rsid w:val="007F50CE"/>
    <w:rsid w:val="007F73EF"/>
    <w:rsid w:val="007F7AA3"/>
    <w:rsid w:val="0080041A"/>
    <w:rsid w:val="00814D4D"/>
    <w:rsid w:val="00817CC8"/>
    <w:rsid w:val="00820391"/>
    <w:rsid w:val="00821533"/>
    <w:rsid w:val="008229E9"/>
    <w:rsid w:val="00831E09"/>
    <w:rsid w:val="00832B29"/>
    <w:rsid w:val="00840098"/>
    <w:rsid w:val="00847191"/>
    <w:rsid w:val="00850BB9"/>
    <w:rsid w:val="00851ED9"/>
    <w:rsid w:val="008656BC"/>
    <w:rsid w:val="00872926"/>
    <w:rsid w:val="00873B29"/>
    <w:rsid w:val="00875BEE"/>
    <w:rsid w:val="00881B9C"/>
    <w:rsid w:val="00883E8D"/>
    <w:rsid w:val="00887ECE"/>
    <w:rsid w:val="00897C22"/>
    <w:rsid w:val="008A33A7"/>
    <w:rsid w:val="008A4003"/>
    <w:rsid w:val="008A4952"/>
    <w:rsid w:val="008A56BB"/>
    <w:rsid w:val="008B444B"/>
    <w:rsid w:val="008B62E3"/>
    <w:rsid w:val="008C12E4"/>
    <w:rsid w:val="008C3CAB"/>
    <w:rsid w:val="008C6F1C"/>
    <w:rsid w:val="008D2AD8"/>
    <w:rsid w:val="008D381D"/>
    <w:rsid w:val="008D75C6"/>
    <w:rsid w:val="008E4F8B"/>
    <w:rsid w:val="008E5579"/>
    <w:rsid w:val="008E7946"/>
    <w:rsid w:val="008F09CD"/>
    <w:rsid w:val="008F0D22"/>
    <w:rsid w:val="008F1708"/>
    <w:rsid w:val="008F7645"/>
    <w:rsid w:val="00901352"/>
    <w:rsid w:val="00902EE3"/>
    <w:rsid w:val="00906E3F"/>
    <w:rsid w:val="00914DB1"/>
    <w:rsid w:val="00921F9B"/>
    <w:rsid w:val="009227E8"/>
    <w:rsid w:val="00923B81"/>
    <w:rsid w:val="009305EB"/>
    <w:rsid w:val="009323C4"/>
    <w:rsid w:val="00933626"/>
    <w:rsid w:val="00934619"/>
    <w:rsid w:val="0093573A"/>
    <w:rsid w:val="00945192"/>
    <w:rsid w:val="00945920"/>
    <w:rsid w:val="00945B0E"/>
    <w:rsid w:val="00946AA7"/>
    <w:rsid w:val="00952D6F"/>
    <w:rsid w:val="00953B47"/>
    <w:rsid w:val="00954FA3"/>
    <w:rsid w:val="00955C92"/>
    <w:rsid w:val="00955DB9"/>
    <w:rsid w:val="00960289"/>
    <w:rsid w:val="0096224B"/>
    <w:rsid w:val="0096587F"/>
    <w:rsid w:val="009659FE"/>
    <w:rsid w:val="00970E1D"/>
    <w:rsid w:val="009751AF"/>
    <w:rsid w:val="0097678C"/>
    <w:rsid w:val="00976E31"/>
    <w:rsid w:val="00982CB2"/>
    <w:rsid w:val="00994A70"/>
    <w:rsid w:val="00995C19"/>
    <w:rsid w:val="009964F9"/>
    <w:rsid w:val="00996B7A"/>
    <w:rsid w:val="00996CB7"/>
    <w:rsid w:val="009A159E"/>
    <w:rsid w:val="009A5971"/>
    <w:rsid w:val="009A67AC"/>
    <w:rsid w:val="009B1DA7"/>
    <w:rsid w:val="009B2176"/>
    <w:rsid w:val="009B23B4"/>
    <w:rsid w:val="009B358C"/>
    <w:rsid w:val="009B3620"/>
    <w:rsid w:val="009B371D"/>
    <w:rsid w:val="009B3912"/>
    <w:rsid w:val="009B5AE4"/>
    <w:rsid w:val="009C1E47"/>
    <w:rsid w:val="009C54B2"/>
    <w:rsid w:val="009E30DB"/>
    <w:rsid w:val="009E4BEF"/>
    <w:rsid w:val="009E6C53"/>
    <w:rsid w:val="009F37F0"/>
    <w:rsid w:val="009F4437"/>
    <w:rsid w:val="009F5B9C"/>
    <w:rsid w:val="00A009CD"/>
    <w:rsid w:val="00A13F68"/>
    <w:rsid w:val="00A162AC"/>
    <w:rsid w:val="00A1671D"/>
    <w:rsid w:val="00A179B5"/>
    <w:rsid w:val="00A21B7D"/>
    <w:rsid w:val="00A21DC2"/>
    <w:rsid w:val="00A22E50"/>
    <w:rsid w:val="00A2315C"/>
    <w:rsid w:val="00A24500"/>
    <w:rsid w:val="00A26788"/>
    <w:rsid w:val="00A30F77"/>
    <w:rsid w:val="00A30FA9"/>
    <w:rsid w:val="00A32542"/>
    <w:rsid w:val="00A32F6E"/>
    <w:rsid w:val="00A347BD"/>
    <w:rsid w:val="00A44616"/>
    <w:rsid w:val="00A515A7"/>
    <w:rsid w:val="00A5216D"/>
    <w:rsid w:val="00A52DE7"/>
    <w:rsid w:val="00A57292"/>
    <w:rsid w:val="00A647BC"/>
    <w:rsid w:val="00A64D59"/>
    <w:rsid w:val="00A66A91"/>
    <w:rsid w:val="00A67C38"/>
    <w:rsid w:val="00A73626"/>
    <w:rsid w:val="00A7601A"/>
    <w:rsid w:val="00A807C5"/>
    <w:rsid w:val="00A86A4D"/>
    <w:rsid w:val="00A92C62"/>
    <w:rsid w:val="00A95831"/>
    <w:rsid w:val="00A95A96"/>
    <w:rsid w:val="00A967EF"/>
    <w:rsid w:val="00AA16AB"/>
    <w:rsid w:val="00AA1819"/>
    <w:rsid w:val="00AB0725"/>
    <w:rsid w:val="00AB43A2"/>
    <w:rsid w:val="00AB7A61"/>
    <w:rsid w:val="00AD0102"/>
    <w:rsid w:val="00AD1962"/>
    <w:rsid w:val="00AD3465"/>
    <w:rsid w:val="00AD6D12"/>
    <w:rsid w:val="00AE51AA"/>
    <w:rsid w:val="00AF3304"/>
    <w:rsid w:val="00AF5FCF"/>
    <w:rsid w:val="00B05678"/>
    <w:rsid w:val="00B06ED4"/>
    <w:rsid w:val="00B31313"/>
    <w:rsid w:val="00B31746"/>
    <w:rsid w:val="00B32D6D"/>
    <w:rsid w:val="00B3346D"/>
    <w:rsid w:val="00B34A5E"/>
    <w:rsid w:val="00B34EEE"/>
    <w:rsid w:val="00B37CA2"/>
    <w:rsid w:val="00B41B0F"/>
    <w:rsid w:val="00B453B0"/>
    <w:rsid w:val="00B458F0"/>
    <w:rsid w:val="00B513F4"/>
    <w:rsid w:val="00B51527"/>
    <w:rsid w:val="00B56CC9"/>
    <w:rsid w:val="00B60A53"/>
    <w:rsid w:val="00B63149"/>
    <w:rsid w:val="00B645D4"/>
    <w:rsid w:val="00B646E6"/>
    <w:rsid w:val="00B65CBE"/>
    <w:rsid w:val="00B70D21"/>
    <w:rsid w:val="00B748CF"/>
    <w:rsid w:val="00B82D18"/>
    <w:rsid w:val="00B85D21"/>
    <w:rsid w:val="00B868A5"/>
    <w:rsid w:val="00B8791E"/>
    <w:rsid w:val="00B9041B"/>
    <w:rsid w:val="00B91CEA"/>
    <w:rsid w:val="00B92D33"/>
    <w:rsid w:val="00B952AF"/>
    <w:rsid w:val="00B96BEF"/>
    <w:rsid w:val="00BA3D81"/>
    <w:rsid w:val="00BA4FD8"/>
    <w:rsid w:val="00BA6995"/>
    <w:rsid w:val="00BA716C"/>
    <w:rsid w:val="00BA7926"/>
    <w:rsid w:val="00BB55EA"/>
    <w:rsid w:val="00BB59D0"/>
    <w:rsid w:val="00BB68AD"/>
    <w:rsid w:val="00BC2559"/>
    <w:rsid w:val="00BC317B"/>
    <w:rsid w:val="00BC3810"/>
    <w:rsid w:val="00BC7DCA"/>
    <w:rsid w:val="00BD2974"/>
    <w:rsid w:val="00BD5984"/>
    <w:rsid w:val="00BE5C13"/>
    <w:rsid w:val="00BF3207"/>
    <w:rsid w:val="00BF579B"/>
    <w:rsid w:val="00BF62AF"/>
    <w:rsid w:val="00BF657D"/>
    <w:rsid w:val="00BF7B2C"/>
    <w:rsid w:val="00C00361"/>
    <w:rsid w:val="00C03791"/>
    <w:rsid w:val="00C0489F"/>
    <w:rsid w:val="00C04CD4"/>
    <w:rsid w:val="00C06157"/>
    <w:rsid w:val="00C14C35"/>
    <w:rsid w:val="00C16956"/>
    <w:rsid w:val="00C207DA"/>
    <w:rsid w:val="00C208C4"/>
    <w:rsid w:val="00C3536B"/>
    <w:rsid w:val="00C37C6E"/>
    <w:rsid w:val="00C42CEA"/>
    <w:rsid w:val="00C50536"/>
    <w:rsid w:val="00C5146D"/>
    <w:rsid w:val="00C524D4"/>
    <w:rsid w:val="00C52D73"/>
    <w:rsid w:val="00C7213A"/>
    <w:rsid w:val="00C75B1F"/>
    <w:rsid w:val="00C77825"/>
    <w:rsid w:val="00C84241"/>
    <w:rsid w:val="00C84455"/>
    <w:rsid w:val="00C9296D"/>
    <w:rsid w:val="00C93B68"/>
    <w:rsid w:val="00C95A7D"/>
    <w:rsid w:val="00C96948"/>
    <w:rsid w:val="00C976E0"/>
    <w:rsid w:val="00CA0962"/>
    <w:rsid w:val="00CA161D"/>
    <w:rsid w:val="00CA550A"/>
    <w:rsid w:val="00CA6618"/>
    <w:rsid w:val="00CB6421"/>
    <w:rsid w:val="00CB65C6"/>
    <w:rsid w:val="00CB6644"/>
    <w:rsid w:val="00CC291C"/>
    <w:rsid w:val="00CC4D49"/>
    <w:rsid w:val="00CC57D1"/>
    <w:rsid w:val="00CD051A"/>
    <w:rsid w:val="00CD33EC"/>
    <w:rsid w:val="00CD5515"/>
    <w:rsid w:val="00CD5C69"/>
    <w:rsid w:val="00CD5F9A"/>
    <w:rsid w:val="00CD6CA5"/>
    <w:rsid w:val="00CE0D47"/>
    <w:rsid w:val="00CE1927"/>
    <w:rsid w:val="00CE2F23"/>
    <w:rsid w:val="00CF187A"/>
    <w:rsid w:val="00CF3092"/>
    <w:rsid w:val="00CF5B9E"/>
    <w:rsid w:val="00CF5F0B"/>
    <w:rsid w:val="00CF73E3"/>
    <w:rsid w:val="00D026D1"/>
    <w:rsid w:val="00D068AA"/>
    <w:rsid w:val="00D10FF6"/>
    <w:rsid w:val="00D15C58"/>
    <w:rsid w:val="00D17382"/>
    <w:rsid w:val="00D17559"/>
    <w:rsid w:val="00D23AD7"/>
    <w:rsid w:val="00D23BBB"/>
    <w:rsid w:val="00D255FD"/>
    <w:rsid w:val="00D27BD2"/>
    <w:rsid w:val="00D32088"/>
    <w:rsid w:val="00D36AC9"/>
    <w:rsid w:val="00D377EA"/>
    <w:rsid w:val="00D405F9"/>
    <w:rsid w:val="00D4424B"/>
    <w:rsid w:val="00D47582"/>
    <w:rsid w:val="00D50C1A"/>
    <w:rsid w:val="00D5500F"/>
    <w:rsid w:val="00D57113"/>
    <w:rsid w:val="00D61173"/>
    <w:rsid w:val="00D61805"/>
    <w:rsid w:val="00D648B8"/>
    <w:rsid w:val="00D6586E"/>
    <w:rsid w:val="00D76303"/>
    <w:rsid w:val="00D76AF8"/>
    <w:rsid w:val="00D77502"/>
    <w:rsid w:val="00D81CEF"/>
    <w:rsid w:val="00D91FDA"/>
    <w:rsid w:val="00DA3746"/>
    <w:rsid w:val="00DA5AD8"/>
    <w:rsid w:val="00DB0EDD"/>
    <w:rsid w:val="00DB2049"/>
    <w:rsid w:val="00DC0E16"/>
    <w:rsid w:val="00DC5F89"/>
    <w:rsid w:val="00DD6425"/>
    <w:rsid w:val="00DD6770"/>
    <w:rsid w:val="00DD7531"/>
    <w:rsid w:val="00DE04A9"/>
    <w:rsid w:val="00DE6074"/>
    <w:rsid w:val="00DE6631"/>
    <w:rsid w:val="00DE6A12"/>
    <w:rsid w:val="00DF1E07"/>
    <w:rsid w:val="00DF2D7C"/>
    <w:rsid w:val="00DF37B5"/>
    <w:rsid w:val="00DF6C8D"/>
    <w:rsid w:val="00E10919"/>
    <w:rsid w:val="00E1154A"/>
    <w:rsid w:val="00E13470"/>
    <w:rsid w:val="00E1450D"/>
    <w:rsid w:val="00E16FF2"/>
    <w:rsid w:val="00E20BE9"/>
    <w:rsid w:val="00E27548"/>
    <w:rsid w:val="00E31953"/>
    <w:rsid w:val="00E31FA1"/>
    <w:rsid w:val="00E33819"/>
    <w:rsid w:val="00E3775B"/>
    <w:rsid w:val="00E40692"/>
    <w:rsid w:val="00E4112F"/>
    <w:rsid w:val="00E41445"/>
    <w:rsid w:val="00E4724D"/>
    <w:rsid w:val="00E53DC6"/>
    <w:rsid w:val="00E558FC"/>
    <w:rsid w:val="00E561CA"/>
    <w:rsid w:val="00E57188"/>
    <w:rsid w:val="00E57E91"/>
    <w:rsid w:val="00E60382"/>
    <w:rsid w:val="00E628BA"/>
    <w:rsid w:val="00E632D3"/>
    <w:rsid w:val="00E72E1F"/>
    <w:rsid w:val="00E72F6C"/>
    <w:rsid w:val="00E75239"/>
    <w:rsid w:val="00E80BAE"/>
    <w:rsid w:val="00E82AF6"/>
    <w:rsid w:val="00E82BA8"/>
    <w:rsid w:val="00E85A3F"/>
    <w:rsid w:val="00E86129"/>
    <w:rsid w:val="00E9068D"/>
    <w:rsid w:val="00E9780D"/>
    <w:rsid w:val="00EA32C9"/>
    <w:rsid w:val="00EA43D4"/>
    <w:rsid w:val="00EA4DE8"/>
    <w:rsid w:val="00EA5094"/>
    <w:rsid w:val="00EA77B0"/>
    <w:rsid w:val="00EB16E5"/>
    <w:rsid w:val="00EB34B7"/>
    <w:rsid w:val="00EB5BB7"/>
    <w:rsid w:val="00EB7DF9"/>
    <w:rsid w:val="00EC0CEF"/>
    <w:rsid w:val="00EC2F47"/>
    <w:rsid w:val="00EC41DD"/>
    <w:rsid w:val="00ED073D"/>
    <w:rsid w:val="00ED1463"/>
    <w:rsid w:val="00ED3D86"/>
    <w:rsid w:val="00ED497E"/>
    <w:rsid w:val="00ED622F"/>
    <w:rsid w:val="00EE5000"/>
    <w:rsid w:val="00EE7006"/>
    <w:rsid w:val="00EF00DA"/>
    <w:rsid w:val="00EF1597"/>
    <w:rsid w:val="00EF19E5"/>
    <w:rsid w:val="00EF1FF6"/>
    <w:rsid w:val="00EF59E8"/>
    <w:rsid w:val="00F02B2D"/>
    <w:rsid w:val="00F0478A"/>
    <w:rsid w:val="00F10875"/>
    <w:rsid w:val="00F14DFA"/>
    <w:rsid w:val="00F17296"/>
    <w:rsid w:val="00F202B0"/>
    <w:rsid w:val="00F20BE0"/>
    <w:rsid w:val="00F21A52"/>
    <w:rsid w:val="00F21B91"/>
    <w:rsid w:val="00F21C0A"/>
    <w:rsid w:val="00F24CB4"/>
    <w:rsid w:val="00F31F16"/>
    <w:rsid w:val="00F3399E"/>
    <w:rsid w:val="00F41639"/>
    <w:rsid w:val="00F50345"/>
    <w:rsid w:val="00F50991"/>
    <w:rsid w:val="00F545A6"/>
    <w:rsid w:val="00F63449"/>
    <w:rsid w:val="00F6430E"/>
    <w:rsid w:val="00F66934"/>
    <w:rsid w:val="00F76594"/>
    <w:rsid w:val="00F85D91"/>
    <w:rsid w:val="00F86758"/>
    <w:rsid w:val="00F87F54"/>
    <w:rsid w:val="00F90E1D"/>
    <w:rsid w:val="00F934EB"/>
    <w:rsid w:val="00F938C4"/>
    <w:rsid w:val="00F97434"/>
    <w:rsid w:val="00FA082F"/>
    <w:rsid w:val="00FA12F8"/>
    <w:rsid w:val="00FB5A96"/>
    <w:rsid w:val="00FB68B0"/>
    <w:rsid w:val="00FC0E08"/>
    <w:rsid w:val="00FC2E1A"/>
    <w:rsid w:val="00FC60B5"/>
    <w:rsid w:val="00FC623C"/>
    <w:rsid w:val="00FD08FA"/>
    <w:rsid w:val="00FE1284"/>
    <w:rsid w:val="00FE3050"/>
    <w:rsid w:val="00FF5DAE"/>
    <w:rsid w:val="00FF65BA"/>
    <w:rsid w:val="00FF704D"/>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2B7B1-A769-44FD-AEC7-77199E5E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62"/>
    <w:rPr>
      <w:rFonts w:ascii="Arial" w:eastAsia="Times New Roman" w:hAnsi="Arial"/>
      <w:sz w:val="22"/>
      <w:lang w:val="en-IE" w:eastAsia="en-US"/>
    </w:rPr>
  </w:style>
  <w:style w:type="paragraph" w:styleId="Heading1">
    <w:name w:val="heading 1"/>
    <w:basedOn w:val="Normal"/>
    <w:next w:val="Normal"/>
    <w:link w:val="Heading1Char"/>
    <w:uiPriority w:val="9"/>
    <w:qFormat/>
    <w:rsid w:val="00403D84"/>
    <w:pPr>
      <w:keepNext/>
      <w:keepLines/>
      <w:spacing w:before="240"/>
      <w:outlineLvl w:val="0"/>
    </w:pPr>
    <w:rPr>
      <w:b/>
      <w:bCs/>
      <w:color w:val="17365D"/>
      <w:sz w:val="24"/>
      <w:szCs w:val="28"/>
    </w:rPr>
  </w:style>
  <w:style w:type="paragraph" w:styleId="Heading2">
    <w:name w:val="heading 2"/>
    <w:basedOn w:val="Normal"/>
    <w:next w:val="Normal"/>
    <w:link w:val="Heading2Char"/>
    <w:qFormat/>
    <w:rsid w:val="00A22E50"/>
    <w:pPr>
      <w:keepNext/>
      <w:jc w:val="center"/>
      <w:outlineLvl w:val="1"/>
    </w:pPr>
    <w:rPr>
      <w:rFonts w:ascii="Garamond" w:hAnsi="Garamond"/>
      <w:b/>
      <w:color w:val="000080"/>
      <w:sz w:val="44"/>
    </w:rPr>
  </w:style>
  <w:style w:type="paragraph" w:styleId="Heading3">
    <w:name w:val="heading 3"/>
    <w:basedOn w:val="Normal"/>
    <w:next w:val="Normal"/>
    <w:link w:val="Heading3Char"/>
    <w:uiPriority w:val="9"/>
    <w:unhideWhenUsed/>
    <w:qFormat/>
    <w:rsid w:val="00682480"/>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C4D4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2E50"/>
    <w:rPr>
      <w:rFonts w:ascii="Garamond" w:eastAsia="Times New Roman" w:hAnsi="Garamond" w:cs="Times New Roman"/>
      <w:b/>
      <w:color w:val="000080"/>
      <w:sz w:val="44"/>
      <w:szCs w:val="20"/>
      <w:lang w:val="en-IE"/>
    </w:rPr>
  </w:style>
  <w:style w:type="paragraph" w:styleId="ListParagraph">
    <w:name w:val="List Paragraph"/>
    <w:basedOn w:val="Normal"/>
    <w:uiPriority w:val="34"/>
    <w:qFormat/>
    <w:rsid w:val="00A22E50"/>
    <w:pPr>
      <w:ind w:left="720"/>
      <w:contextualSpacing/>
    </w:pPr>
  </w:style>
  <w:style w:type="character" w:styleId="PlaceholderText">
    <w:name w:val="Placeholder Text"/>
    <w:basedOn w:val="DefaultParagraphFont"/>
    <w:uiPriority w:val="99"/>
    <w:semiHidden/>
    <w:rsid w:val="003D76CB"/>
    <w:rPr>
      <w:color w:val="808080"/>
    </w:rPr>
  </w:style>
  <w:style w:type="paragraph" w:styleId="BalloonText">
    <w:name w:val="Balloon Text"/>
    <w:basedOn w:val="Normal"/>
    <w:link w:val="BalloonTextChar"/>
    <w:uiPriority w:val="99"/>
    <w:semiHidden/>
    <w:unhideWhenUsed/>
    <w:rsid w:val="003D76CB"/>
    <w:rPr>
      <w:rFonts w:ascii="Tahoma" w:hAnsi="Tahoma" w:cs="Tahoma"/>
      <w:sz w:val="16"/>
      <w:szCs w:val="16"/>
    </w:rPr>
  </w:style>
  <w:style w:type="character" w:customStyle="1" w:styleId="BalloonTextChar">
    <w:name w:val="Balloon Text Char"/>
    <w:basedOn w:val="DefaultParagraphFont"/>
    <w:link w:val="BalloonText"/>
    <w:uiPriority w:val="99"/>
    <w:semiHidden/>
    <w:rsid w:val="003D76CB"/>
    <w:rPr>
      <w:rFonts w:ascii="Tahoma" w:eastAsia="Times New Roman" w:hAnsi="Tahoma" w:cs="Tahoma"/>
      <w:sz w:val="16"/>
      <w:szCs w:val="16"/>
      <w:lang w:val="en-IE"/>
    </w:rPr>
  </w:style>
  <w:style w:type="paragraph" w:styleId="TOC1">
    <w:name w:val="toc 1"/>
    <w:basedOn w:val="Normal"/>
    <w:next w:val="Normal"/>
    <w:autoRedefine/>
    <w:uiPriority w:val="39"/>
    <w:unhideWhenUsed/>
    <w:rsid w:val="00955DB9"/>
    <w:pPr>
      <w:spacing w:before="120"/>
    </w:pPr>
    <w:rPr>
      <w:rFonts w:ascii="Calibri" w:hAnsi="Calibri" w:cs="Calibri"/>
      <w:b/>
      <w:bCs/>
      <w:i/>
      <w:iCs/>
      <w:sz w:val="24"/>
      <w:szCs w:val="24"/>
    </w:rPr>
  </w:style>
  <w:style w:type="paragraph" w:styleId="TOC2">
    <w:name w:val="toc 2"/>
    <w:basedOn w:val="Normal"/>
    <w:next w:val="Normal"/>
    <w:autoRedefine/>
    <w:uiPriority w:val="39"/>
    <w:unhideWhenUsed/>
    <w:rsid w:val="003D76CB"/>
    <w:pPr>
      <w:spacing w:before="120"/>
      <w:ind w:left="220"/>
    </w:pPr>
    <w:rPr>
      <w:rFonts w:ascii="Calibri" w:hAnsi="Calibri" w:cs="Calibri"/>
      <w:b/>
      <w:bCs/>
      <w:szCs w:val="22"/>
    </w:rPr>
  </w:style>
  <w:style w:type="paragraph" w:styleId="TOC3">
    <w:name w:val="toc 3"/>
    <w:basedOn w:val="Normal"/>
    <w:next w:val="Normal"/>
    <w:autoRedefine/>
    <w:uiPriority w:val="39"/>
    <w:unhideWhenUsed/>
    <w:rsid w:val="003D76CB"/>
    <w:pPr>
      <w:ind w:left="440"/>
    </w:pPr>
    <w:rPr>
      <w:rFonts w:ascii="Calibri" w:hAnsi="Calibri" w:cs="Calibri"/>
      <w:sz w:val="20"/>
    </w:rPr>
  </w:style>
  <w:style w:type="paragraph" w:styleId="TOC4">
    <w:name w:val="toc 4"/>
    <w:basedOn w:val="Normal"/>
    <w:next w:val="Normal"/>
    <w:autoRedefine/>
    <w:uiPriority w:val="39"/>
    <w:unhideWhenUsed/>
    <w:rsid w:val="003D76CB"/>
    <w:pPr>
      <w:ind w:left="660"/>
    </w:pPr>
    <w:rPr>
      <w:rFonts w:ascii="Calibri" w:hAnsi="Calibri" w:cs="Calibri"/>
      <w:sz w:val="20"/>
    </w:rPr>
  </w:style>
  <w:style w:type="paragraph" w:styleId="TOC5">
    <w:name w:val="toc 5"/>
    <w:basedOn w:val="Normal"/>
    <w:next w:val="Normal"/>
    <w:autoRedefine/>
    <w:uiPriority w:val="39"/>
    <w:unhideWhenUsed/>
    <w:rsid w:val="003D76CB"/>
    <w:pPr>
      <w:ind w:left="880"/>
    </w:pPr>
    <w:rPr>
      <w:rFonts w:ascii="Calibri" w:hAnsi="Calibri" w:cs="Calibri"/>
      <w:sz w:val="20"/>
    </w:rPr>
  </w:style>
  <w:style w:type="paragraph" w:styleId="TOC6">
    <w:name w:val="toc 6"/>
    <w:basedOn w:val="Normal"/>
    <w:next w:val="Normal"/>
    <w:autoRedefine/>
    <w:uiPriority w:val="39"/>
    <w:unhideWhenUsed/>
    <w:rsid w:val="003D76CB"/>
    <w:pPr>
      <w:ind w:left="1100"/>
    </w:pPr>
    <w:rPr>
      <w:rFonts w:ascii="Calibri" w:hAnsi="Calibri" w:cs="Calibri"/>
      <w:sz w:val="20"/>
    </w:rPr>
  </w:style>
  <w:style w:type="paragraph" w:styleId="TOC7">
    <w:name w:val="toc 7"/>
    <w:basedOn w:val="Normal"/>
    <w:next w:val="Normal"/>
    <w:autoRedefine/>
    <w:uiPriority w:val="39"/>
    <w:unhideWhenUsed/>
    <w:rsid w:val="003D76CB"/>
    <w:pPr>
      <w:ind w:left="1320"/>
    </w:pPr>
    <w:rPr>
      <w:rFonts w:ascii="Calibri" w:hAnsi="Calibri" w:cs="Calibri"/>
      <w:sz w:val="20"/>
    </w:rPr>
  </w:style>
  <w:style w:type="paragraph" w:styleId="TOC8">
    <w:name w:val="toc 8"/>
    <w:basedOn w:val="Normal"/>
    <w:next w:val="Normal"/>
    <w:autoRedefine/>
    <w:uiPriority w:val="39"/>
    <w:unhideWhenUsed/>
    <w:rsid w:val="003D76CB"/>
    <w:pPr>
      <w:ind w:left="1540"/>
    </w:pPr>
    <w:rPr>
      <w:rFonts w:ascii="Calibri" w:hAnsi="Calibri" w:cs="Calibri"/>
      <w:sz w:val="20"/>
    </w:rPr>
  </w:style>
  <w:style w:type="paragraph" w:styleId="TOC9">
    <w:name w:val="toc 9"/>
    <w:basedOn w:val="Normal"/>
    <w:next w:val="Normal"/>
    <w:autoRedefine/>
    <w:uiPriority w:val="39"/>
    <w:unhideWhenUsed/>
    <w:rsid w:val="003D76CB"/>
    <w:pPr>
      <w:ind w:left="1760"/>
    </w:pPr>
    <w:rPr>
      <w:rFonts w:ascii="Calibri" w:hAnsi="Calibri" w:cs="Calibri"/>
      <w:sz w:val="20"/>
    </w:rPr>
  </w:style>
  <w:style w:type="character" w:styleId="Hyperlink">
    <w:name w:val="Hyperlink"/>
    <w:basedOn w:val="DefaultParagraphFont"/>
    <w:uiPriority w:val="99"/>
    <w:unhideWhenUsed/>
    <w:rsid w:val="003D76CB"/>
    <w:rPr>
      <w:color w:val="0000FF"/>
      <w:u w:val="single"/>
    </w:rPr>
  </w:style>
  <w:style w:type="paragraph" w:styleId="Title">
    <w:name w:val="Title"/>
    <w:basedOn w:val="Normal"/>
    <w:next w:val="Normal"/>
    <w:link w:val="TitleChar"/>
    <w:uiPriority w:val="10"/>
    <w:qFormat/>
    <w:rsid w:val="006A7AC3"/>
    <w:pPr>
      <w:pBdr>
        <w:bottom w:val="single" w:sz="8" w:space="4" w:color="4F81BD"/>
      </w:pBdr>
      <w:spacing w:after="300"/>
      <w:contextualSpacing/>
    </w:pPr>
    <w:rPr>
      <w:b/>
      <w:color w:val="17365D"/>
      <w:spacing w:val="5"/>
      <w:kern w:val="28"/>
      <w:sz w:val="28"/>
      <w:szCs w:val="52"/>
    </w:rPr>
  </w:style>
  <w:style w:type="character" w:customStyle="1" w:styleId="TitleChar">
    <w:name w:val="Title Char"/>
    <w:basedOn w:val="DefaultParagraphFont"/>
    <w:link w:val="Title"/>
    <w:uiPriority w:val="10"/>
    <w:rsid w:val="006A7AC3"/>
    <w:rPr>
      <w:rFonts w:ascii="Arial" w:eastAsia="Times New Roman" w:hAnsi="Arial" w:cs="Times New Roman"/>
      <w:b/>
      <w:color w:val="17365D"/>
      <w:spacing w:val="5"/>
      <w:kern w:val="28"/>
      <w:sz w:val="28"/>
      <w:szCs w:val="52"/>
      <w:lang w:val="en-IE"/>
    </w:rPr>
  </w:style>
  <w:style w:type="character" w:customStyle="1" w:styleId="Heading1Char">
    <w:name w:val="Heading 1 Char"/>
    <w:basedOn w:val="DefaultParagraphFont"/>
    <w:link w:val="Heading1"/>
    <w:uiPriority w:val="9"/>
    <w:rsid w:val="00403D84"/>
    <w:rPr>
      <w:rFonts w:ascii="Arial" w:eastAsia="Times New Roman" w:hAnsi="Arial" w:cs="Times New Roman"/>
      <w:b/>
      <w:bCs/>
      <w:color w:val="17365D"/>
      <w:sz w:val="24"/>
      <w:szCs w:val="28"/>
      <w:lang w:val="en-IE"/>
    </w:rPr>
  </w:style>
  <w:style w:type="paragraph" w:styleId="FootnoteText">
    <w:name w:val="footnote text"/>
    <w:basedOn w:val="Normal"/>
    <w:link w:val="FootnoteTextChar"/>
    <w:uiPriority w:val="99"/>
    <w:semiHidden/>
    <w:unhideWhenUsed/>
    <w:rsid w:val="00CA0962"/>
    <w:rPr>
      <w:sz w:val="20"/>
    </w:rPr>
  </w:style>
  <w:style w:type="character" w:customStyle="1" w:styleId="FootnoteTextChar">
    <w:name w:val="Footnote Text Char"/>
    <w:basedOn w:val="DefaultParagraphFont"/>
    <w:link w:val="FootnoteText"/>
    <w:uiPriority w:val="99"/>
    <w:semiHidden/>
    <w:rsid w:val="00CA0962"/>
    <w:rPr>
      <w:rFonts w:ascii="Arial" w:eastAsia="Times New Roman" w:hAnsi="Arial" w:cs="Times New Roman"/>
      <w:sz w:val="20"/>
      <w:szCs w:val="20"/>
      <w:lang w:val="en-IE"/>
    </w:rPr>
  </w:style>
  <w:style w:type="character" w:styleId="FootnoteReference">
    <w:name w:val="footnote reference"/>
    <w:basedOn w:val="DefaultParagraphFont"/>
    <w:uiPriority w:val="99"/>
    <w:semiHidden/>
    <w:unhideWhenUsed/>
    <w:rsid w:val="00CA0962"/>
    <w:rPr>
      <w:vertAlign w:val="superscript"/>
    </w:rPr>
  </w:style>
  <w:style w:type="table" w:styleId="TableGrid">
    <w:name w:val="Table Grid"/>
    <w:basedOn w:val="TableNormal"/>
    <w:uiPriority w:val="59"/>
    <w:rsid w:val="0055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82480"/>
    <w:rPr>
      <w:rFonts w:ascii="Arial" w:eastAsia="Times New Roman" w:hAnsi="Arial" w:cs="Times New Roman"/>
      <w:b/>
      <w:bCs/>
      <w:color w:val="4F81BD"/>
      <w:szCs w:val="20"/>
      <w:lang w:val="en-IE"/>
    </w:rPr>
  </w:style>
  <w:style w:type="paragraph" w:styleId="BodyText">
    <w:name w:val="Body Text"/>
    <w:basedOn w:val="Normal"/>
    <w:link w:val="BodyTextChar"/>
    <w:uiPriority w:val="99"/>
    <w:rsid w:val="00020048"/>
    <w:pPr>
      <w:spacing w:before="60" w:after="120" w:line="360" w:lineRule="auto"/>
    </w:pPr>
    <w:rPr>
      <w:rFonts w:ascii="Times New Roman" w:hAnsi="Times New Roman"/>
      <w:lang w:val="en-GB" w:eastAsia="en-GB"/>
    </w:rPr>
  </w:style>
  <w:style w:type="character" w:customStyle="1" w:styleId="BodyTextChar">
    <w:name w:val="Body Text Char"/>
    <w:basedOn w:val="DefaultParagraphFont"/>
    <w:link w:val="BodyText"/>
    <w:uiPriority w:val="99"/>
    <w:rsid w:val="00020048"/>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6151CD"/>
    <w:pPr>
      <w:tabs>
        <w:tab w:val="center" w:pos="4513"/>
        <w:tab w:val="right" w:pos="9026"/>
      </w:tabs>
    </w:pPr>
  </w:style>
  <w:style w:type="character" w:customStyle="1" w:styleId="HeaderChar">
    <w:name w:val="Header Char"/>
    <w:basedOn w:val="DefaultParagraphFont"/>
    <w:link w:val="Header"/>
    <w:uiPriority w:val="99"/>
    <w:rsid w:val="006151CD"/>
    <w:rPr>
      <w:rFonts w:ascii="Arial" w:eastAsia="Times New Roman" w:hAnsi="Arial" w:cs="Times New Roman"/>
      <w:szCs w:val="20"/>
      <w:lang w:val="en-IE"/>
    </w:rPr>
  </w:style>
  <w:style w:type="paragraph" w:styleId="Footer">
    <w:name w:val="footer"/>
    <w:basedOn w:val="Normal"/>
    <w:link w:val="FooterChar"/>
    <w:uiPriority w:val="99"/>
    <w:unhideWhenUsed/>
    <w:rsid w:val="006151CD"/>
    <w:pPr>
      <w:tabs>
        <w:tab w:val="center" w:pos="4513"/>
        <w:tab w:val="right" w:pos="9026"/>
      </w:tabs>
    </w:pPr>
  </w:style>
  <w:style w:type="character" w:customStyle="1" w:styleId="FooterChar">
    <w:name w:val="Footer Char"/>
    <w:basedOn w:val="DefaultParagraphFont"/>
    <w:link w:val="Footer"/>
    <w:uiPriority w:val="99"/>
    <w:rsid w:val="006151CD"/>
    <w:rPr>
      <w:rFonts w:ascii="Arial" w:eastAsia="Times New Roman" w:hAnsi="Arial" w:cs="Times New Roman"/>
      <w:szCs w:val="20"/>
      <w:lang w:val="en-IE"/>
    </w:rPr>
  </w:style>
  <w:style w:type="paragraph" w:styleId="DocumentMap">
    <w:name w:val="Document Map"/>
    <w:basedOn w:val="Normal"/>
    <w:link w:val="DocumentMapChar"/>
    <w:uiPriority w:val="99"/>
    <w:semiHidden/>
    <w:unhideWhenUsed/>
    <w:rsid w:val="00707DB6"/>
    <w:rPr>
      <w:rFonts w:ascii="Tahoma" w:hAnsi="Tahoma" w:cs="Tahoma"/>
      <w:sz w:val="16"/>
      <w:szCs w:val="16"/>
    </w:rPr>
  </w:style>
  <w:style w:type="character" w:customStyle="1" w:styleId="DocumentMapChar">
    <w:name w:val="Document Map Char"/>
    <w:basedOn w:val="DefaultParagraphFont"/>
    <w:link w:val="DocumentMap"/>
    <w:uiPriority w:val="99"/>
    <w:semiHidden/>
    <w:rsid w:val="00707DB6"/>
    <w:rPr>
      <w:rFonts w:ascii="Tahoma" w:eastAsia="Times New Roman" w:hAnsi="Tahoma" w:cs="Tahoma"/>
      <w:sz w:val="16"/>
      <w:szCs w:val="16"/>
      <w:lang w:val="en-IE"/>
    </w:rPr>
  </w:style>
  <w:style w:type="paragraph" w:styleId="NoSpacing">
    <w:name w:val="No Spacing"/>
    <w:uiPriority w:val="1"/>
    <w:qFormat/>
    <w:rsid w:val="006E27BB"/>
    <w:rPr>
      <w:rFonts w:ascii="Arial" w:eastAsia="Times New Roman" w:hAnsi="Arial"/>
      <w:sz w:val="22"/>
      <w:lang w:val="en-IE" w:eastAsia="en-US"/>
    </w:rPr>
  </w:style>
  <w:style w:type="paragraph" w:styleId="NormalWeb">
    <w:name w:val="Normal (Web)"/>
    <w:basedOn w:val="Normal"/>
    <w:uiPriority w:val="99"/>
    <w:unhideWhenUsed/>
    <w:rsid w:val="001C7F52"/>
    <w:rPr>
      <w:rFonts w:ascii="Times New Roman" w:hAnsi="Times New Roman"/>
      <w:sz w:val="24"/>
      <w:szCs w:val="24"/>
      <w:lang w:val="en-GB" w:eastAsia="en-GB"/>
    </w:rPr>
  </w:style>
  <w:style w:type="character" w:styleId="Strong">
    <w:name w:val="Strong"/>
    <w:basedOn w:val="DefaultParagraphFont"/>
    <w:uiPriority w:val="22"/>
    <w:qFormat/>
    <w:rsid w:val="00F50345"/>
    <w:rPr>
      <w:b/>
      <w:bCs/>
    </w:rPr>
  </w:style>
  <w:style w:type="paragraph" w:styleId="ListBullet">
    <w:name w:val="List Bullet"/>
    <w:basedOn w:val="List"/>
    <w:autoRedefine/>
    <w:rsid w:val="00B453B0"/>
    <w:pPr>
      <w:widowControl w:val="0"/>
      <w:ind w:left="0" w:firstLine="0"/>
      <w:contextualSpacing w:val="0"/>
    </w:pPr>
    <w:rPr>
      <w:rFonts w:ascii="Calibri" w:hAnsi="Calibri" w:cs="Arial"/>
      <w:spacing w:val="-10"/>
      <w:kern w:val="28"/>
      <w:sz w:val="20"/>
      <w:lang w:val="en-GB" w:eastAsia="en-GB"/>
    </w:rPr>
  </w:style>
  <w:style w:type="character" w:customStyle="1" w:styleId="Slogan">
    <w:name w:val="Slogan"/>
    <w:basedOn w:val="DefaultParagraphFont"/>
    <w:rsid w:val="001E392F"/>
    <w:rPr>
      <w:i/>
      <w:spacing w:val="-6"/>
      <w:sz w:val="24"/>
    </w:rPr>
  </w:style>
  <w:style w:type="paragraph" w:styleId="List">
    <w:name w:val="List"/>
    <w:basedOn w:val="Normal"/>
    <w:uiPriority w:val="99"/>
    <w:semiHidden/>
    <w:unhideWhenUsed/>
    <w:rsid w:val="001E392F"/>
    <w:pPr>
      <w:ind w:left="283" w:hanging="283"/>
      <w:contextualSpacing/>
    </w:pPr>
  </w:style>
  <w:style w:type="paragraph" w:customStyle="1" w:styleId="Bulletsecondary">
    <w:name w:val="Bullet secondary"/>
    <w:link w:val="BulletsecondaryChar"/>
    <w:rsid w:val="003E08A5"/>
    <w:pPr>
      <w:widowControl w:val="0"/>
      <w:numPr>
        <w:numId w:val="2"/>
      </w:numPr>
      <w:adjustRightInd w:val="0"/>
      <w:spacing w:after="170" w:line="280" w:lineRule="exact"/>
      <w:textAlignment w:val="baseline"/>
    </w:pPr>
    <w:rPr>
      <w:rFonts w:ascii="Arial" w:eastAsia="Times New Roman" w:hAnsi="Arial" w:cs="Arial"/>
      <w:color w:val="000000"/>
      <w:lang w:val="en-US" w:eastAsia="en-US"/>
    </w:rPr>
  </w:style>
  <w:style w:type="character" w:customStyle="1" w:styleId="BulletsecondaryChar">
    <w:name w:val="Bullet secondary Char"/>
    <w:basedOn w:val="DefaultParagraphFont"/>
    <w:link w:val="Bulletsecondary"/>
    <w:rsid w:val="003E08A5"/>
    <w:rPr>
      <w:rFonts w:ascii="Arial" w:eastAsia="Times New Roman" w:hAnsi="Arial" w:cs="Arial"/>
      <w:color w:val="000000"/>
      <w:lang w:val="en-US" w:eastAsia="en-US" w:bidi="ar-SA"/>
    </w:rPr>
  </w:style>
  <w:style w:type="paragraph" w:customStyle="1" w:styleId="AnnexD">
    <w:name w:val="Annex D"/>
    <w:basedOn w:val="Normal"/>
    <w:rsid w:val="003E08A5"/>
    <w:pPr>
      <w:numPr>
        <w:numId w:val="3"/>
      </w:numPr>
      <w:tabs>
        <w:tab w:val="left" w:pos="454"/>
      </w:tabs>
      <w:adjustRightInd w:val="0"/>
      <w:spacing w:before="120" w:after="170" w:line="280" w:lineRule="exact"/>
      <w:textAlignment w:val="baseline"/>
    </w:pPr>
    <w:rPr>
      <w:rFonts w:cs="Verdana"/>
      <w:color w:val="000000"/>
      <w:sz w:val="20"/>
      <w:szCs w:val="24"/>
      <w:lang w:val="en-GB"/>
    </w:rPr>
  </w:style>
  <w:style w:type="character" w:customStyle="1" w:styleId="Bold">
    <w:name w:val="Bold"/>
    <w:rsid w:val="003E08A5"/>
    <w:rPr>
      <w:b/>
      <w:bCs/>
    </w:rPr>
  </w:style>
  <w:style w:type="paragraph" w:customStyle="1" w:styleId="AnnexE">
    <w:name w:val="Annex E"/>
    <w:basedOn w:val="Normal"/>
    <w:rsid w:val="003E08A5"/>
    <w:pPr>
      <w:numPr>
        <w:numId w:val="4"/>
      </w:numPr>
      <w:tabs>
        <w:tab w:val="left" w:pos="454"/>
      </w:tabs>
      <w:adjustRightInd w:val="0"/>
      <w:spacing w:before="120" w:after="170" w:line="280" w:lineRule="exact"/>
      <w:ind w:left="0" w:firstLine="0"/>
      <w:textAlignment w:val="baseline"/>
    </w:pPr>
    <w:rPr>
      <w:rFonts w:cs="Verdana"/>
      <w:color w:val="000000"/>
      <w:sz w:val="20"/>
      <w:szCs w:val="24"/>
      <w:lang w:val="en-GB"/>
    </w:rPr>
  </w:style>
  <w:style w:type="paragraph" w:customStyle="1" w:styleId="Figuretitle">
    <w:name w:val="Figure title"/>
    <w:basedOn w:val="Normal"/>
    <w:rsid w:val="003E08A5"/>
    <w:pPr>
      <w:spacing w:before="120" w:line="300" w:lineRule="exact"/>
    </w:pPr>
    <w:rPr>
      <w:bCs/>
      <w:color w:val="000000"/>
      <w:sz w:val="24"/>
      <w:lang w:val="en-GB" w:eastAsia="en-GB"/>
    </w:rPr>
  </w:style>
  <w:style w:type="character" w:styleId="CommentReference">
    <w:name w:val="annotation reference"/>
    <w:basedOn w:val="DefaultParagraphFont"/>
    <w:uiPriority w:val="99"/>
    <w:semiHidden/>
    <w:unhideWhenUsed/>
    <w:rsid w:val="003E08A5"/>
    <w:rPr>
      <w:sz w:val="16"/>
      <w:szCs w:val="16"/>
    </w:rPr>
  </w:style>
  <w:style w:type="paragraph" w:styleId="CommentText">
    <w:name w:val="annotation text"/>
    <w:basedOn w:val="Normal"/>
    <w:link w:val="CommentTextChar"/>
    <w:uiPriority w:val="99"/>
    <w:unhideWhenUsed/>
    <w:rsid w:val="003E08A5"/>
    <w:pPr>
      <w:spacing w:before="60" w:after="120"/>
    </w:pPr>
    <w:rPr>
      <w:sz w:val="20"/>
      <w:lang w:val="en-GB" w:eastAsia="en-GB"/>
    </w:rPr>
  </w:style>
  <w:style w:type="character" w:customStyle="1" w:styleId="CommentTextChar">
    <w:name w:val="Comment Text Char"/>
    <w:basedOn w:val="DefaultParagraphFont"/>
    <w:link w:val="CommentText"/>
    <w:uiPriority w:val="99"/>
    <w:rsid w:val="003E08A5"/>
    <w:rPr>
      <w:rFonts w:ascii="Arial" w:eastAsia="Times New Roman" w:hAnsi="Arial" w:cs="Times New Roman"/>
      <w:sz w:val="20"/>
      <w:szCs w:val="20"/>
      <w:lang w:eastAsia="en-GB"/>
    </w:rPr>
  </w:style>
  <w:style w:type="paragraph" w:customStyle="1" w:styleId="Default">
    <w:name w:val="Default"/>
    <w:rsid w:val="004765DE"/>
    <w:pPr>
      <w:autoSpaceDE w:val="0"/>
      <w:autoSpaceDN w:val="0"/>
      <w:adjustRightInd w:val="0"/>
    </w:pPr>
    <w:rPr>
      <w:rFonts w:ascii="Arial" w:eastAsia="Times New Roman" w:hAnsi="Arial" w:cs="Arial"/>
      <w:color w:val="000000"/>
      <w:sz w:val="24"/>
      <w:szCs w:val="24"/>
    </w:rPr>
  </w:style>
  <w:style w:type="paragraph" w:customStyle="1" w:styleId="MainTextNumbered">
    <w:name w:val="MainText Numbered"/>
    <w:basedOn w:val="Normal"/>
    <w:link w:val="MainTextNumberedChar"/>
    <w:rsid w:val="003E359F"/>
    <w:pPr>
      <w:numPr>
        <w:numId w:val="19"/>
      </w:numPr>
      <w:tabs>
        <w:tab w:val="left" w:pos="454"/>
      </w:tabs>
      <w:adjustRightInd w:val="0"/>
      <w:spacing w:before="120" w:after="170" w:line="280" w:lineRule="exact"/>
      <w:textAlignment w:val="baseline"/>
    </w:pPr>
    <w:rPr>
      <w:rFonts w:cs="Verdana"/>
      <w:color w:val="000000"/>
      <w:sz w:val="20"/>
      <w:szCs w:val="24"/>
      <w:lang w:val="en-GB"/>
    </w:rPr>
  </w:style>
  <w:style w:type="character" w:customStyle="1" w:styleId="MainTextNumberedChar">
    <w:name w:val="MainText Numbered Char"/>
    <w:basedOn w:val="DefaultParagraphFont"/>
    <w:link w:val="MainTextNumbered"/>
    <w:rsid w:val="003E359F"/>
    <w:rPr>
      <w:rFonts w:ascii="Arial" w:eastAsia="Times New Roman" w:hAnsi="Arial" w:cs="Verdana"/>
      <w:color w:val="000000"/>
      <w:sz w:val="20"/>
      <w:szCs w:val="24"/>
    </w:rPr>
  </w:style>
  <w:style w:type="paragraph" w:customStyle="1" w:styleId="Number1">
    <w:name w:val="Number 1"/>
    <w:link w:val="Number1CharChar"/>
    <w:rsid w:val="007108C6"/>
    <w:pPr>
      <w:numPr>
        <w:numId w:val="21"/>
      </w:numPr>
      <w:tabs>
        <w:tab w:val="left" w:pos="454"/>
      </w:tabs>
      <w:adjustRightInd w:val="0"/>
      <w:spacing w:before="120" w:after="170" w:line="280" w:lineRule="exact"/>
      <w:textAlignment w:val="baseline"/>
    </w:pPr>
    <w:rPr>
      <w:rFonts w:ascii="Arial" w:eastAsia="Times New Roman" w:hAnsi="Arial"/>
      <w:color w:val="000000"/>
      <w:szCs w:val="24"/>
    </w:rPr>
  </w:style>
  <w:style w:type="character" w:customStyle="1" w:styleId="Number1CharChar">
    <w:name w:val="Number 1 Char Char"/>
    <w:link w:val="Number1"/>
    <w:rsid w:val="007108C6"/>
    <w:rPr>
      <w:rFonts w:ascii="Arial" w:eastAsia="Times New Roman" w:hAnsi="Arial" w:cs="Times New Roman"/>
      <w:color w:val="000000"/>
      <w:szCs w:val="24"/>
      <w:lang w:bidi="ar-SA"/>
    </w:rPr>
  </w:style>
  <w:style w:type="paragraph" w:customStyle="1" w:styleId="Bullet">
    <w:name w:val="Bullet"/>
    <w:rsid w:val="007108C6"/>
    <w:pPr>
      <w:widowControl w:val="0"/>
      <w:numPr>
        <w:numId w:val="24"/>
      </w:numPr>
      <w:adjustRightInd w:val="0"/>
      <w:spacing w:after="170" w:line="280" w:lineRule="exact"/>
      <w:textAlignment w:val="baseline"/>
    </w:pPr>
    <w:rPr>
      <w:rFonts w:ascii="Arial" w:eastAsia="Times New Roman" w:hAnsi="Arial" w:cs="Arial"/>
      <w:color w:val="000000"/>
      <w:lang w:eastAsia="en-US"/>
    </w:rPr>
  </w:style>
  <w:style w:type="character" w:customStyle="1" w:styleId="Heading4Char">
    <w:name w:val="Heading 4 Char"/>
    <w:basedOn w:val="DefaultParagraphFont"/>
    <w:link w:val="Heading4"/>
    <w:uiPriority w:val="9"/>
    <w:rsid w:val="00CC4D49"/>
    <w:rPr>
      <w:rFonts w:ascii="Cambria" w:eastAsia="Times New Roman" w:hAnsi="Cambria" w:cs="Times New Roman"/>
      <w:b/>
      <w:bCs/>
      <w:i/>
      <w:iCs/>
      <w:color w:val="4F81BD"/>
      <w:szCs w:val="20"/>
      <w:lang w:val="en-IE"/>
    </w:rPr>
  </w:style>
  <w:style w:type="paragraph" w:customStyle="1" w:styleId="Number2">
    <w:name w:val="Number 2"/>
    <w:basedOn w:val="Number1"/>
    <w:rsid w:val="00CC4D49"/>
    <w:pPr>
      <w:numPr>
        <w:numId w:val="25"/>
      </w:numPr>
      <w:tabs>
        <w:tab w:val="clear" w:pos="774"/>
      </w:tabs>
      <w:ind w:left="0" w:firstLine="0"/>
    </w:pPr>
  </w:style>
  <w:style w:type="paragraph" w:customStyle="1" w:styleId="Number3">
    <w:name w:val="Number 3"/>
    <w:basedOn w:val="Number1"/>
    <w:rsid w:val="005E0ACE"/>
    <w:pPr>
      <w:numPr>
        <w:numId w:val="28"/>
      </w:numPr>
      <w:ind w:left="0" w:firstLine="0"/>
    </w:pPr>
  </w:style>
  <w:style w:type="paragraph" w:styleId="CommentSubject">
    <w:name w:val="annotation subject"/>
    <w:basedOn w:val="CommentText"/>
    <w:next w:val="CommentText"/>
    <w:link w:val="CommentSubjectChar"/>
    <w:uiPriority w:val="99"/>
    <w:semiHidden/>
    <w:unhideWhenUsed/>
    <w:rsid w:val="00210F09"/>
    <w:pPr>
      <w:spacing w:before="0" w:after="0"/>
    </w:pPr>
    <w:rPr>
      <w:b/>
      <w:bCs/>
      <w:lang w:val="en-IE" w:eastAsia="en-US"/>
    </w:rPr>
  </w:style>
  <w:style w:type="character" w:customStyle="1" w:styleId="CommentSubjectChar">
    <w:name w:val="Comment Subject Char"/>
    <w:basedOn w:val="CommentTextChar"/>
    <w:link w:val="CommentSubject"/>
    <w:uiPriority w:val="99"/>
    <w:semiHidden/>
    <w:rsid w:val="00210F09"/>
    <w:rPr>
      <w:rFonts w:ascii="Arial" w:eastAsia="Times New Roman" w:hAnsi="Arial" w:cs="Times New Roman"/>
      <w:b/>
      <w:bCs/>
      <w:sz w:val="20"/>
      <w:szCs w:val="20"/>
      <w:lang w:val="en-IE" w:eastAsia="en-GB"/>
    </w:rPr>
  </w:style>
  <w:style w:type="character" w:styleId="FollowedHyperlink">
    <w:name w:val="FollowedHyperlink"/>
    <w:basedOn w:val="DefaultParagraphFont"/>
    <w:uiPriority w:val="99"/>
    <w:semiHidden/>
    <w:unhideWhenUsed/>
    <w:rsid w:val="004241AF"/>
    <w:rPr>
      <w:color w:val="800080"/>
      <w:u w:val="single"/>
    </w:rPr>
  </w:style>
  <w:style w:type="paragraph" w:customStyle="1" w:styleId="AnnexBoxHeading">
    <w:name w:val="Annex Box Heading"/>
    <w:basedOn w:val="Default"/>
    <w:next w:val="Default"/>
    <w:uiPriority w:val="99"/>
    <w:rsid w:val="006F59AD"/>
    <w:rPr>
      <w:rFonts w:eastAsia="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5794">
      <w:bodyDiv w:val="1"/>
      <w:marLeft w:val="0"/>
      <w:marRight w:val="0"/>
      <w:marTop w:val="0"/>
      <w:marBottom w:val="0"/>
      <w:divBdr>
        <w:top w:val="none" w:sz="0" w:space="0" w:color="auto"/>
        <w:left w:val="none" w:sz="0" w:space="0" w:color="auto"/>
        <w:bottom w:val="none" w:sz="0" w:space="0" w:color="auto"/>
        <w:right w:val="none" w:sz="0" w:space="0" w:color="auto"/>
      </w:divBdr>
    </w:div>
    <w:div w:id="274796545">
      <w:bodyDiv w:val="1"/>
      <w:marLeft w:val="0"/>
      <w:marRight w:val="0"/>
      <w:marTop w:val="0"/>
      <w:marBottom w:val="0"/>
      <w:divBdr>
        <w:top w:val="none" w:sz="0" w:space="0" w:color="auto"/>
        <w:left w:val="none" w:sz="0" w:space="0" w:color="auto"/>
        <w:bottom w:val="none" w:sz="0" w:space="0" w:color="auto"/>
        <w:right w:val="none" w:sz="0" w:space="0" w:color="auto"/>
      </w:divBdr>
    </w:div>
    <w:div w:id="349530714">
      <w:bodyDiv w:val="1"/>
      <w:marLeft w:val="0"/>
      <w:marRight w:val="0"/>
      <w:marTop w:val="0"/>
      <w:marBottom w:val="0"/>
      <w:divBdr>
        <w:top w:val="none" w:sz="0" w:space="0" w:color="auto"/>
        <w:left w:val="none" w:sz="0" w:space="0" w:color="auto"/>
        <w:bottom w:val="none" w:sz="0" w:space="0" w:color="auto"/>
        <w:right w:val="none" w:sz="0" w:space="0" w:color="auto"/>
      </w:divBdr>
    </w:div>
    <w:div w:id="377433211">
      <w:bodyDiv w:val="1"/>
      <w:marLeft w:val="0"/>
      <w:marRight w:val="0"/>
      <w:marTop w:val="0"/>
      <w:marBottom w:val="0"/>
      <w:divBdr>
        <w:top w:val="none" w:sz="0" w:space="0" w:color="auto"/>
        <w:left w:val="none" w:sz="0" w:space="0" w:color="auto"/>
        <w:bottom w:val="none" w:sz="0" w:space="0" w:color="auto"/>
        <w:right w:val="none" w:sz="0" w:space="0" w:color="auto"/>
      </w:divBdr>
    </w:div>
    <w:div w:id="379480565">
      <w:bodyDiv w:val="1"/>
      <w:marLeft w:val="0"/>
      <w:marRight w:val="0"/>
      <w:marTop w:val="0"/>
      <w:marBottom w:val="0"/>
      <w:divBdr>
        <w:top w:val="none" w:sz="0" w:space="0" w:color="auto"/>
        <w:left w:val="none" w:sz="0" w:space="0" w:color="auto"/>
        <w:bottom w:val="none" w:sz="0" w:space="0" w:color="auto"/>
        <w:right w:val="none" w:sz="0" w:space="0" w:color="auto"/>
      </w:divBdr>
    </w:div>
    <w:div w:id="399015736">
      <w:bodyDiv w:val="1"/>
      <w:marLeft w:val="0"/>
      <w:marRight w:val="0"/>
      <w:marTop w:val="0"/>
      <w:marBottom w:val="0"/>
      <w:divBdr>
        <w:top w:val="none" w:sz="0" w:space="0" w:color="auto"/>
        <w:left w:val="none" w:sz="0" w:space="0" w:color="auto"/>
        <w:bottom w:val="none" w:sz="0" w:space="0" w:color="auto"/>
        <w:right w:val="none" w:sz="0" w:space="0" w:color="auto"/>
      </w:divBdr>
    </w:div>
    <w:div w:id="404104771">
      <w:bodyDiv w:val="1"/>
      <w:marLeft w:val="0"/>
      <w:marRight w:val="0"/>
      <w:marTop w:val="0"/>
      <w:marBottom w:val="0"/>
      <w:divBdr>
        <w:top w:val="none" w:sz="0" w:space="0" w:color="auto"/>
        <w:left w:val="none" w:sz="0" w:space="0" w:color="auto"/>
        <w:bottom w:val="none" w:sz="0" w:space="0" w:color="auto"/>
        <w:right w:val="none" w:sz="0" w:space="0" w:color="auto"/>
      </w:divBdr>
    </w:div>
    <w:div w:id="922110084">
      <w:bodyDiv w:val="1"/>
      <w:marLeft w:val="0"/>
      <w:marRight w:val="0"/>
      <w:marTop w:val="0"/>
      <w:marBottom w:val="0"/>
      <w:divBdr>
        <w:top w:val="none" w:sz="0" w:space="0" w:color="auto"/>
        <w:left w:val="none" w:sz="0" w:space="0" w:color="auto"/>
        <w:bottom w:val="none" w:sz="0" w:space="0" w:color="auto"/>
        <w:right w:val="none" w:sz="0" w:space="0" w:color="auto"/>
      </w:divBdr>
      <w:divsChild>
        <w:div w:id="316686773">
          <w:marLeft w:val="360"/>
          <w:marRight w:val="0"/>
          <w:marTop w:val="100"/>
          <w:marBottom w:val="100"/>
          <w:divBdr>
            <w:top w:val="none" w:sz="0" w:space="0" w:color="auto"/>
            <w:left w:val="none" w:sz="0" w:space="0" w:color="auto"/>
            <w:bottom w:val="none" w:sz="0" w:space="0" w:color="auto"/>
            <w:right w:val="none" w:sz="0" w:space="0" w:color="auto"/>
          </w:divBdr>
        </w:div>
        <w:div w:id="1396196331">
          <w:marLeft w:val="360"/>
          <w:marRight w:val="0"/>
          <w:marTop w:val="100"/>
          <w:marBottom w:val="100"/>
          <w:divBdr>
            <w:top w:val="none" w:sz="0" w:space="0" w:color="auto"/>
            <w:left w:val="none" w:sz="0" w:space="0" w:color="auto"/>
            <w:bottom w:val="none" w:sz="0" w:space="0" w:color="auto"/>
            <w:right w:val="none" w:sz="0" w:space="0" w:color="auto"/>
          </w:divBdr>
        </w:div>
      </w:divsChild>
    </w:div>
    <w:div w:id="1123229859">
      <w:bodyDiv w:val="1"/>
      <w:marLeft w:val="0"/>
      <w:marRight w:val="0"/>
      <w:marTop w:val="0"/>
      <w:marBottom w:val="0"/>
      <w:divBdr>
        <w:top w:val="none" w:sz="0" w:space="0" w:color="auto"/>
        <w:left w:val="none" w:sz="0" w:space="0" w:color="auto"/>
        <w:bottom w:val="none" w:sz="0" w:space="0" w:color="auto"/>
        <w:right w:val="none" w:sz="0" w:space="0" w:color="auto"/>
      </w:divBdr>
    </w:div>
    <w:div w:id="1125656807">
      <w:bodyDiv w:val="1"/>
      <w:marLeft w:val="0"/>
      <w:marRight w:val="0"/>
      <w:marTop w:val="0"/>
      <w:marBottom w:val="0"/>
      <w:divBdr>
        <w:top w:val="none" w:sz="0" w:space="0" w:color="auto"/>
        <w:left w:val="none" w:sz="0" w:space="0" w:color="auto"/>
        <w:bottom w:val="none" w:sz="0" w:space="0" w:color="auto"/>
        <w:right w:val="none" w:sz="0" w:space="0" w:color="auto"/>
      </w:divBdr>
    </w:div>
    <w:div w:id="1221864104">
      <w:bodyDiv w:val="1"/>
      <w:marLeft w:val="0"/>
      <w:marRight w:val="0"/>
      <w:marTop w:val="0"/>
      <w:marBottom w:val="0"/>
      <w:divBdr>
        <w:top w:val="none" w:sz="0" w:space="0" w:color="auto"/>
        <w:left w:val="none" w:sz="0" w:space="0" w:color="auto"/>
        <w:bottom w:val="none" w:sz="0" w:space="0" w:color="auto"/>
        <w:right w:val="none" w:sz="0" w:space="0" w:color="auto"/>
      </w:divBdr>
    </w:div>
    <w:div w:id="1453087212">
      <w:bodyDiv w:val="1"/>
      <w:marLeft w:val="0"/>
      <w:marRight w:val="0"/>
      <w:marTop w:val="0"/>
      <w:marBottom w:val="0"/>
      <w:divBdr>
        <w:top w:val="none" w:sz="0" w:space="0" w:color="auto"/>
        <w:left w:val="none" w:sz="0" w:space="0" w:color="auto"/>
        <w:bottom w:val="none" w:sz="0" w:space="0" w:color="auto"/>
        <w:right w:val="none" w:sz="0" w:space="0" w:color="auto"/>
      </w:divBdr>
    </w:div>
    <w:div w:id="1464150444">
      <w:bodyDiv w:val="1"/>
      <w:marLeft w:val="0"/>
      <w:marRight w:val="0"/>
      <w:marTop w:val="0"/>
      <w:marBottom w:val="0"/>
      <w:divBdr>
        <w:top w:val="none" w:sz="0" w:space="0" w:color="auto"/>
        <w:left w:val="none" w:sz="0" w:space="0" w:color="auto"/>
        <w:bottom w:val="none" w:sz="0" w:space="0" w:color="auto"/>
        <w:right w:val="none" w:sz="0" w:space="0" w:color="auto"/>
      </w:divBdr>
    </w:div>
    <w:div w:id="1503622338">
      <w:bodyDiv w:val="1"/>
      <w:marLeft w:val="0"/>
      <w:marRight w:val="0"/>
      <w:marTop w:val="0"/>
      <w:marBottom w:val="0"/>
      <w:divBdr>
        <w:top w:val="none" w:sz="0" w:space="0" w:color="auto"/>
        <w:left w:val="none" w:sz="0" w:space="0" w:color="auto"/>
        <w:bottom w:val="none" w:sz="0" w:space="0" w:color="auto"/>
        <w:right w:val="none" w:sz="0" w:space="0" w:color="auto"/>
      </w:divBdr>
    </w:div>
    <w:div w:id="1620991527">
      <w:bodyDiv w:val="1"/>
      <w:marLeft w:val="0"/>
      <w:marRight w:val="0"/>
      <w:marTop w:val="0"/>
      <w:marBottom w:val="0"/>
      <w:divBdr>
        <w:top w:val="none" w:sz="0" w:space="0" w:color="auto"/>
        <w:left w:val="none" w:sz="0" w:space="0" w:color="auto"/>
        <w:bottom w:val="none" w:sz="0" w:space="0" w:color="auto"/>
        <w:right w:val="none" w:sz="0" w:space="0" w:color="auto"/>
      </w:divBdr>
    </w:div>
    <w:div w:id="17772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org.uk/apb/publications/pub071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c.org.uk/apb/publications/pub1013.html" TargetMode="External"/><Relationship Id="rId4" Type="http://schemas.openxmlformats.org/officeDocument/2006/relationships/settings" Target="settings.xml"/><Relationship Id="rId9" Type="http://schemas.openxmlformats.org/officeDocument/2006/relationships/hyperlink" Target="http://www.frc.org.uk/apb/publications/pub07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zzz%20-%20New%20Folder%20-%20General%20Access\Guidance\Technical%20Guidance\Financial%20Audit%20Guidance\1.%20Planning%20templates\Audit%20Strategy%20templates\Audit%20Strategy%20template%20C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8A0FC-0D3E-4B8A-919A-8FDC77A4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 Strategy template CG</Template>
  <TotalTime>0</TotalTime>
  <Pages>5</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Walsh</dc:creator>
  <cp:lastModifiedBy>Gillian Laverty</cp:lastModifiedBy>
  <cp:revision>2</cp:revision>
  <cp:lastPrinted>2013-11-25T15:55:00Z</cp:lastPrinted>
  <dcterms:created xsi:type="dcterms:W3CDTF">2019-04-17T10:50:00Z</dcterms:created>
  <dcterms:modified xsi:type="dcterms:W3CDTF">2019-04-17T10:50:00Z</dcterms:modified>
</cp:coreProperties>
</file>