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110"/>
        <w:gridCol w:w="7488"/>
      </w:tblGrid>
      <w:tr w:rsidR="004F125B" w:rsidRPr="004F125B" w:rsidTr="00420621">
        <w:trPr>
          <w:trHeight w:val="397"/>
        </w:trPr>
        <w:tc>
          <w:tcPr>
            <w:tcW w:w="3110" w:type="dxa"/>
            <w:shd w:val="clear" w:color="auto" w:fill="D9D9D9" w:themeFill="background1" w:themeFillShade="D9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125B">
              <w:rPr>
                <w:rFonts w:asciiTheme="minorHAnsi" w:hAnsiTheme="minorHAnsi"/>
                <w:b/>
                <w:sz w:val="20"/>
                <w:szCs w:val="20"/>
              </w:rPr>
              <w:t>Indicator:</w:t>
            </w:r>
          </w:p>
        </w:tc>
        <w:tc>
          <w:tcPr>
            <w:tcW w:w="7488" w:type="dxa"/>
            <w:vAlign w:val="center"/>
          </w:tcPr>
          <w:p w:rsidR="004F125B" w:rsidRPr="00290BBD" w:rsidRDefault="00420621" w:rsidP="00290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90BBD">
              <w:rPr>
                <w:rFonts w:asciiTheme="minorHAnsi" w:hAnsiTheme="minorHAnsi" w:cs="Arial"/>
                <w:b/>
                <w:sz w:val="20"/>
                <w:szCs w:val="20"/>
              </w:rPr>
              <w:t>External sales</w:t>
            </w:r>
          </w:p>
        </w:tc>
      </w:tr>
    </w:tbl>
    <w:p w:rsidR="00902932" w:rsidRPr="004F125B" w:rsidRDefault="00902932" w:rsidP="00902932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110"/>
        <w:gridCol w:w="7488"/>
      </w:tblGrid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Responsible Statistician: </w:t>
            </w:r>
          </w:p>
        </w:tc>
        <w:tc>
          <w:tcPr>
            <w:tcW w:w="7371" w:type="dxa"/>
            <w:vAlign w:val="center"/>
          </w:tcPr>
          <w:p w:rsidR="004F125B" w:rsidRPr="004F125B" w:rsidRDefault="00A41465" w:rsidP="00A414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Gerard Colgan</w:t>
            </w:r>
            <w:r w:rsidR="004F125B" w:rsidRPr="004F125B">
              <w:rPr>
                <w:rFonts w:asciiTheme="minorHAnsi" w:hAnsiTheme="minorHAnsi"/>
                <w:sz w:val="20"/>
                <w:szCs w:val="20"/>
              </w:rPr>
              <w:t>, Department of Finance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Web Link to Statistical Publication:</w:t>
            </w:r>
          </w:p>
        </w:tc>
        <w:tc>
          <w:tcPr>
            <w:tcW w:w="7371" w:type="dxa"/>
            <w:vAlign w:val="center"/>
          </w:tcPr>
          <w:p w:rsidR="004F125B" w:rsidRPr="004F125B" w:rsidRDefault="00BA5ED8" w:rsidP="004F125B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C01A40" w:rsidRPr="009B0E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https://www.nisra.gov.uk/statistics/business-statistics/broad-economy-sales-and-exports-statistics</w:t>
              </w:r>
            </w:hyperlink>
            <w:r w:rsidR="00C01A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Frequency of update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Annual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ime lag: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12 months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Data Source:</w:t>
            </w:r>
          </w:p>
        </w:tc>
        <w:tc>
          <w:tcPr>
            <w:tcW w:w="7371" w:type="dxa"/>
            <w:vAlign w:val="center"/>
          </w:tcPr>
          <w:p w:rsidR="004F125B" w:rsidRPr="004F125B" w:rsidRDefault="0042409C" w:rsidP="004F12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Survey. Trade data are</w:t>
            </w:r>
            <w:r w:rsidR="004F125B" w:rsidRPr="004F125B">
              <w:rPr>
                <w:rFonts w:asciiTheme="minorHAnsi" w:hAnsiTheme="minorHAnsi"/>
                <w:sz w:val="20"/>
                <w:szCs w:val="20"/>
              </w:rPr>
              <w:t xml:space="preserve"> gathered thro</w:t>
            </w:r>
            <w:bookmarkStart w:id="0" w:name="_GoBack"/>
            <w:bookmarkEnd w:id="0"/>
            <w:r w:rsidR="004F125B" w:rsidRPr="004F125B">
              <w:rPr>
                <w:rFonts w:asciiTheme="minorHAnsi" w:hAnsiTheme="minorHAnsi"/>
                <w:sz w:val="20"/>
                <w:szCs w:val="20"/>
              </w:rPr>
              <w:t>ugh the NI Annual Business Inquiry (ABI)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National Statistics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7371" w:type="dxa"/>
            <w:vAlign w:val="center"/>
          </w:tcPr>
          <w:p w:rsidR="004F125B" w:rsidRPr="004F125B" w:rsidRDefault="00A81890" w:rsidP="004F12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Official Statistics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Quality Report: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4F125B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Historic Data available from: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2011</w:t>
            </w:r>
          </w:p>
        </w:tc>
      </w:tr>
      <w:tr w:rsidR="004F125B" w:rsidRPr="004F125B" w:rsidTr="008B5FE7">
        <w:trPr>
          <w:trHeight w:val="3372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ime-series trend: </w:t>
            </w:r>
          </w:p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839"/>
              <w:gridCol w:w="839"/>
              <w:gridCol w:w="840"/>
              <w:gridCol w:w="839"/>
              <w:gridCol w:w="840"/>
              <w:gridCol w:w="839"/>
              <w:gridCol w:w="840"/>
            </w:tblGrid>
            <w:tr w:rsidR="008B5FE7" w:rsidRPr="004F125B" w:rsidTr="008B5FE7">
              <w:trPr>
                <w:trHeight w:val="300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4F125B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2011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2012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2013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2014</w:t>
                  </w:r>
                </w:p>
              </w:tc>
              <w:tc>
                <w:tcPr>
                  <w:tcW w:w="840" w:type="dxa"/>
                  <w:vAlign w:val="bottom"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2015</w:t>
                  </w:r>
                </w:p>
              </w:tc>
              <w:tc>
                <w:tcPr>
                  <w:tcW w:w="839" w:type="dxa"/>
                  <w:vAlign w:val="bottom"/>
                </w:tcPr>
                <w:p w:rsidR="008B5FE7" w:rsidRDefault="008B5FE7" w:rsidP="00DF330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2016</w:t>
                  </w:r>
                </w:p>
              </w:tc>
              <w:tc>
                <w:tcPr>
                  <w:tcW w:w="840" w:type="dxa"/>
                  <w:vAlign w:val="bottom"/>
                </w:tcPr>
                <w:p w:rsidR="008B5FE7" w:rsidRDefault="008B5FE7" w:rsidP="008B5FE7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2017</w:t>
                  </w:r>
                </w:p>
              </w:tc>
            </w:tr>
            <w:tr w:rsidR="008B5FE7" w:rsidRPr="004F125B" w:rsidTr="008B5FE7">
              <w:trPr>
                <w:trHeight w:val="300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4F125B">
                  <w:pP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External Sales (£m)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20,508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20,907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21,997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  <w:hideMark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22,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664</w:t>
                  </w:r>
                </w:p>
              </w:tc>
              <w:tc>
                <w:tcPr>
                  <w:tcW w:w="840" w:type="dxa"/>
                  <w:vAlign w:val="bottom"/>
                </w:tcPr>
                <w:p w:rsidR="008B5FE7" w:rsidRPr="004F125B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23,167</w:t>
                  </w:r>
                </w:p>
              </w:tc>
              <w:tc>
                <w:tcPr>
                  <w:tcW w:w="839" w:type="dxa"/>
                  <w:vAlign w:val="bottom"/>
                </w:tcPr>
                <w:p w:rsidR="008B5FE7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23,812</w:t>
                  </w:r>
                </w:p>
              </w:tc>
              <w:tc>
                <w:tcPr>
                  <w:tcW w:w="840" w:type="dxa"/>
                  <w:vAlign w:val="bottom"/>
                </w:tcPr>
                <w:p w:rsidR="008B5FE7" w:rsidRDefault="008B5FE7" w:rsidP="008B5FE7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21,410</w:t>
                  </w:r>
                </w:p>
              </w:tc>
            </w:tr>
            <w:tr w:rsidR="008B5FE7" w:rsidRPr="004F125B" w:rsidTr="008B5FE7">
              <w:trPr>
                <w:trHeight w:val="300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</w:tcPr>
                <w:p w:rsidR="008B5FE7" w:rsidRPr="004F125B" w:rsidRDefault="008B5FE7" w:rsidP="00FD16E2">
                  <w:pP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External Sales </w:t>
                  </w:r>
                  <w: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Rate </w:t>
                  </w:r>
                  <w:r w:rsidRPr="004F125B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  <w:lang w:eastAsia="en-GB"/>
                    </w:rPr>
                    <w:t>%)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</w:tcPr>
                <w:p w:rsidR="008B5FE7" w:rsidRPr="00FD16E2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D16E2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23.1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</w:tcPr>
                <w:p w:rsidR="008B5FE7" w:rsidRPr="00FD16E2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D16E2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25.0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bottom"/>
                </w:tcPr>
                <w:p w:rsidR="008B5FE7" w:rsidRPr="00FD16E2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D16E2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24.0</w:t>
                  </w:r>
                </w:p>
              </w:tc>
              <w:tc>
                <w:tcPr>
                  <w:tcW w:w="839" w:type="dxa"/>
                  <w:shd w:val="clear" w:color="auto" w:fill="auto"/>
                  <w:noWrap/>
                  <w:vAlign w:val="bottom"/>
                </w:tcPr>
                <w:p w:rsidR="008B5FE7" w:rsidRPr="00FD16E2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D16E2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23.5</w:t>
                  </w:r>
                </w:p>
              </w:tc>
              <w:tc>
                <w:tcPr>
                  <w:tcW w:w="840" w:type="dxa"/>
                  <w:vAlign w:val="bottom"/>
                </w:tcPr>
                <w:p w:rsidR="008B5FE7" w:rsidRPr="00FD16E2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D16E2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22.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839" w:type="dxa"/>
                  <w:vAlign w:val="bottom"/>
                </w:tcPr>
                <w:p w:rsidR="008B5FE7" w:rsidRPr="00FD16E2" w:rsidRDefault="008B5FE7" w:rsidP="00DF3305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22.5</w:t>
                  </w:r>
                </w:p>
              </w:tc>
              <w:tc>
                <w:tcPr>
                  <w:tcW w:w="840" w:type="dxa"/>
                  <w:vAlign w:val="bottom"/>
                </w:tcPr>
                <w:p w:rsidR="008B5FE7" w:rsidRDefault="008B5FE7" w:rsidP="008B5FE7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eastAsia="en-GB"/>
                    </w:rPr>
                    <w:t>24.8</w:t>
                  </w:r>
                </w:p>
              </w:tc>
            </w:tr>
          </w:tbl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174EC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Time series back to 2011 available at:</w:t>
            </w:r>
          </w:p>
          <w:p w:rsidR="00D174EC" w:rsidRPr="00D174EC" w:rsidRDefault="00D174EC" w:rsidP="004F125B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Sales values: </w:t>
            </w:r>
            <w:hyperlink r:id="rId9" w:history="1">
              <w:r w:rsidRPr="005C23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https://www.nisra.gov.uk/sites/nisra.gov.uk/files/publications/BESES-internet-tables-2011-2017.xlsx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74EC" w:rsidRDefault="00D174EC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174EC" w:rsidRPr="004F125B" w:rsidRDefault="00D174EC" w:rsidP="004F12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Counts: </w:t>
            </w:r>
            <w:hyperlink r:id="rId10" w:history="1">
              <w:r w:rsidRPr="005C23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https://www.nisra.gov.uk/sites/nisra.gov.uk/files/publications/BESES-counts-tables-2011-2017.xlsx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8B5FE7">
        <w:trPr>
          <w:trHeight w:val="68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For Survey Data </w:t>
            </w:r>
          </w:p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ample size and confidence interval for the latest available year: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Sample size: In 201</w:t>
            </w:r>
            <w:r w:rsidR="00B46DE9">
              <w:rPr>
                <w:rFonts w:asciiTheme="minorHAnsi" w:hAnsiTheme="minorHAnsi"/>
                <w:sz w:val="20"/>
                <w:szCs w:val="20"/>
              </w:rPr>
              <w:t>7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 xml:space="preserve">: n = </w:t>
            </w:r>
            <w:r w:rsidR="00ED336F">
              <w:rPr>
                <w:rFonts w:asciiTheme="minorHAnsi" w:hAnsiTheme="minorHAnsi"/>
                <w:sz w:val="20"/>
                <w:szCs w:val="20"/>
              </w:rPr>
              <w:t>9,300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C523C" w:rsidRDefault="004F125B" w:rsidP="00C01A40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Confidence interval</w:t>
            </w:r>
            <w:r w:rsidR="005C523C">
              <w:rPr>
                <w:rFonts w:asciiTheme="minorHAnsi" w:hAnsiTheme="minorHAnsi"/>
                <w:sz w:val="20"/>
                <w:szCs w:val="20"/>
              </w:rPr>
              <w:t xml:space="preserve"> (sales)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: 201</w:t>
            </w:r>
            <w:r w:rsidR="00ED336F">
              <w:rPr>
                <w:rFonts w:asciiTheme="minorHAnsi" w:hAnsiTheme="minorHAnsi"/>
                <w:sz w:val="20"/>
                <w:szCs w:val="20"/>
              </w:rPr>
              <w:t>7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: ±£</w:t>
            </w:r>
            <w:r w:rsidR="00B46DE9">
              <w:rPr>
                <w:rFonts w:asciiTheme="minorHAnsi" w:hAnsiTheme="minorHAnsi"/>
                <w:sz w:val="20"/>
                <w:szCs w:val="20"/>
              </w:rPr>
              <w:t>486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m</w:t>
            </w:r>
          </w:p>
          <w:p w:rsidR="005C523C" w:rsidRPr="004F125B" w:rsidRDefault="005C523C" w:rsidP="00B46DE9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Confidence interval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(rate)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: 201</w:t>
            </w:r>
            <w:r w:rsidR="00ED336F">
              <w:rPr>
                <w:rFonts w:asciiTheme="minorHAnsi" w:hAnsiTheme="minorHAnsi"/>
                <w:sz w:val="20"/>
                <w:szCs w:val="20"/>
              </w:rPr>
              <w:t>7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: ±</w:t>
            </w:r>
            <w:r w:rsidR="00A96C1F">
              <w:rPr>
                <w:rFonts w:asciiTheme="minorHAnsi" w:hAnsiTheme="minorHAnsi"/>
                <w:sz w:val="20"/>
                <w:szCs w:val="20"/>
              </w:rPr>
              <w:t>1.</w:t>
            </w:r>
            <w:r w:rsidR="00B46DE9">
              <w:rPr>
                <w:rFonts w:asciiTheme="minorHAnsi" w:hAnsi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/>
                <w:sz w:val="20"/>
                <w:szCs w:val="20"/>
              </w:rPr>
              <w:t>%</w:t>
            </w:r>
            <w:r w:rsidR="002027FF">
              <w:rPr>
                <w:rFonts w:asciiTheme="minorHAnsi" w:hAnsiTheme="minorHAnsi"/>
                <w:sz w:val="20"/>
                <w:szCs w:val="20"/>
              </w:rPr>
              <w:t xml:space="preserve">.  Sampling variability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change: 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/>
                <w:sz w:val="20"/>
                <w:szCs w:val="20"/>
              </w:rPr>
              <w:t>0.6%</w:t>
            </w:r>
          </w:p>
        </w:tc>
      </w:tr>
      <w:tr w:rsidR="004F125B" w:rsidRPr="004F125B" w:rsidTr="008B5FE7">
        <w:trPr>
          <w:trHeight w:val="2128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UK/</w:t>
            </w:r>
            <w:proofErr w:type="spellStart"/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/International c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omparisons: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UK: Yes</w:t>
            </w:r>
          </w:p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UK Regional: Yes</w:t>
            </w:r>
          </w:p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125B">
              <w:rPr>
                <w:rFonts w:asciiTheme="minorHAnsi" w:hAnsiTheme="minorHAnsi"/>
                <w:sz w:val="20"/>
                <w:szCs w:val="20"/>
              </w:rPr>
              <w:t>RoI</w:t>
            </w:r>
            <w:proofErr w:type="spellEnd"/>
            <w:r w:rsidRPr="004F125B">
              <w:rPr>
                <w:rFonts w:asciiTheme="minorHAnsi" w:hAnsiTheme="minorHAnsi"/>
                <w:sz w:val="20"/>
                <w:szCs w:val="20"/>
              </w:rPr>
              <w:t>: Yes</w:t>
            </w:r>
          </w:p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International (please specify countries): Most</w:t>
            </w:r>
          </w:p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F125B" w:rsidRPr="004F125B" w:rsidRDefault="0042409C" w:rsidP="004F12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Trade data are</w:t>
            </w:r>
            <w:r w:rsidR="004F125B" w:rsidRPr="004F125B">
              <w:rPr>
                <w:rFonts w:asciiTheme="minorHAnsi" w:hAnsiTheme="minorHAnsi"/>
                <w:sz w:val="20"/>
                <w:szCs w:val="20"/>
              </w:rPr>
              <w:t xml:space="preserve"> available from most countries. However, there is no single data source or common methodology. So while there may be similarities in methodologies, comparisons between countries should be treated with caution. </w:t>
            </w:r>
          </w:p>
        </w:tc>
      </w:tr>
      <w:tr w:rsidR="004F125B" w:rsidRPr="004F125B" w:rsidTr="008B5FE7">
        <w:trPr>
          <w:trHeight w:val="638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ssues in relation to this data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e.g. 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data limitations, future data availability, changes to methodology </w:t>
            </w:r>
          </w:p>
        </w:tc>
        <w:tc>
          <w:tcPr>
            <w:tcW w:w="7371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4F125B">
              <w:rPr>
                <w:rFonts w:asciiTheme="minorHAnsi" w:hAnsiTheme="minorHAnsi" w:cs="Arial"/>
                <w:sz w:val="20"/>
                <w:szCs w:val="20"/>
              </w:rPr>
              <w:t>Broad Economy Sales and Exports Statistics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 xml:space="preserve"> series is designated as experimental to reflect the fact that they are under development.</w:t>
            </w:r>
          </w:p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F125B" w:rsidRPr="004F125B" w:rsidRDefault="004F125B" w:rsidP="00040EC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Ongoing development of the methodology will be informed by user feedback, both in terms of the usefulness and reliability of the estimates and their comparability with other sources.</w:t>
            </w:r>
          </w:p>
        </w:tc>
      </w:tr>
      <w:tr w:rsidR="00902932" w:rsidRPr="004F125B" w:rsidTr="008B5FE7">
        <w:trPr>
          <w:trHeight w:val="340"/>
        </w:trPr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902932" w:rsidRPr="004F125B" w:rsidRDefault="00902932" w:rsidP="004F12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125B">
              <w:rPr>
                <w:rFonts w:asciiTheme="minorHAnsi" w:hAnsiTheme="minorHAnsi"/>
                <w:b/>
                <w:sz w:val="20"/>
                <w:szCs w:val="20"/>
              </w:rPr>
              <w:t>Is this measure being used to monitor performance against your current/latest Departmental/ Agency Plan</w:t>
            </w:r>
          </w:p>
        </w:tc>
        <w:tc>
          <w:tcPr>
            <w:tcW w:w="7371" w:type="dxa"/>
            <w:vAlign w:val="center"/>
          </w:tcPr>
          <w:p w:rsidR="00902932" w:rsidRPr="004F125B" w:rsidRDefault="00131D42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902932" w:rsidRPr="004F125B" w:rsidTr="008B5FE7"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902932" w:rsidRPr="004F125B" w:rsidRDefault="00902932" w:rsidP="004F12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125B">
              <w:rPr>
                <w:rFonts w:asciiTheme="minorHAnsi" w:hAnsiTheme="minorHAnsi"/>
                <w:b/>
                <w:sz w:val="20"/>
                <w:szCs w:val="20"/>
              </w:rPr>
              <w:t>If yes, please specify any particular baseline point/year for the measure which is being for performance monitoring purposes</w:t>
            </w:r>
          </w:p>
        </w:tc>
        <w:tc>
          <w:tcPr>
            <w:tcW w:w="7371" w:type="dxa"/>
            <w:vAlign w:val="center"/>
          </w:tcPr>
          <w:p w:rsidR="00902932" w:rsidRPr="004F125B" w:rsidRDefault="000A4492" w:rsidP="004F12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</w:tr>
    </w:tbl>
    <w:p w:rsidR="00902932" w:rsidRPr="004F125B" w:rsidRDefault="00902932" w:rsidP="00902932">
      <w:pPr>
        <w:rPr>
          <w:rFonts w:asciiTheme="minorHAnsi" w:hAnsiTheme="minorHAnsi"/>
          <w:sz w:val="20"/>
          <w:szCs w:val="20"/>
        </w:rPr>
      </w:pPr>
    </w:p>
    <w:p w:rsidR="004F125B" w:rsidRDefault="004F125B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902932" w:rsidRPr="004F125B" w:rsidRDefault="00902932" w:rsidP="00902932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219"/>
        <w:gridCol w:w="903"/>
        <w:gridCol w:w="4536"/>
      </w:tblGrid>
      <w:tr w:rsidR="00902932" w:rsidRPr="004F125B" w:rsidTr="004F125B">
        <w:trPr>
          <w:trHeight w:val="397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02932" w:rsidRPr="004F125B" w:rsidRDefault="004F125B" w:rsidP="004F12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Available groupings*</w:t>
            </w:r>
          </w:p>
        </w:tc>
        <w:tc>
          <w:tcPr>
            <w:tcW w:w="903" w:type="dxa"/>
            <w:vAlign w:val="center"/>
          </w:tcPr>
          <w:p w:rsidR="00902932" w:rsidRPr="004F125B" w:rsidRDefault="00902932" w:rsidP="004F12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125B">
              <w:rPr>
                <w:rFonts w:asciiTheme="minorHAnsi" w:hAnsi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4536" w:type="dxa"/>
            <w:vAlign w:val="center"/>
          </w:tcPr>
          <w:p w:rsidR="00902932" w:rsidRPr="004F125B" w:rsidRDefault="00902932" w:rsidP="004F12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125B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 NI Level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Parliamentary Constituency level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66D66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Government District (2014) level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Deprivation Quintile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NISRA Geography Urban/Rural Measure 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Political Opinion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Dependants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345E2E" w:rsidRDefault="004F125B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Racial Group</w:t>
            </w:r>
          </w:p>
        </w:tc>
        <w:tc>
          <w:tcPr>
            <w:tcW w:w="903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125B" w:rsidRPr="004F125B" w:rsidTr="004F125B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F125B" w:rsidRPr="004C2627" w:rsidRDefault="004F125B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owest level geography at which the measure is available:</w:t>
            </w:r>
          </w:p>
        </w:tc>
        <w:tc>
          <w:tcPr>
            <w:tcW w:w="5439" w:type="dxa"/>
            <w:gridSpan w:val="2"/>
            <w:vAlign w:val="center"/>
          </w:tcPr>
          <w:p w:rsidR="004F125B" w:rsidRPr="004F125B" w:rsidRDefault="004F125B" w:rsidP="004F125B">
            <w:pPr>
              <w:rPr>
                <w:rFonts w:asciiTheme="minorHAnsi" w:hAnsiTheme="minorHAnsi"/>
                <w:sz w:val="20"/>
                <w:szCs w:val="20"/>
              </w:rPr>
            </w:pPr>
            <w:r w:rsidRPr="004F125B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orthern 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reland</w:t>
            </w:r>
            <w:r w:rsidRPr="004F12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level</w:t>
            </w:r>
          </w:p>
        </w:tc>
      </w:tr>
    </w:tbl>
    <w:p w:rsidR="00902932" w:rsidRPr="004F125B" w:rsidRDefault="004F125B" w:rsidP="007065EC">
      <w:pPr>
        <w:rPr>
          <w:rFonts w:asciiTheme="minorHAnsi" w:hAnsiTheme="minorHAnsi"/>
          <w:sz w:val="20"/>
          <w:szCs w:val="20"/>
        </w:rPr>
      </w:pPr>
      <w:r w:rsidRPr="000E15DF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Due to confidentiality constraints, in some instances breakdowns may not be available due to small numbers</w:t>
      </w:r>
    </w:p>
    <w:sectPr w:rsidR="00902932" w:rsidRPr="004F125B" w:rsidSect="008F67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680" w:left="85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5B" w:rsidRDefault="00ED715B" w:rsidP="008F671D">
      <w:r>
        <w:separator/>
      </w:r>
    </w:p>
  </w:endnote>
  <w:endnote w:type="continuationSeparator" w:id="0">
    <w:p w:rsidR="00ED715B" w:rsidRDefault="00ED715B" w:rsidP="008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9" w:rsidRDefault="00CA2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9" w:rsidRDefault="00CA2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9" w:rsidRDefault="00CA2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5B" w:rsidRDefault="00ED715B" w:rsidP="008F671D">
      <w:r>
        <w:separator/>
      </w:r>
    </w:p>
  </w:footnote>
  <w:footnote w:type="continuationSeparator" w:id="0">
    <w:p w:rsidR="00ED715B" w:rsidRDefault="00ED715B" w:rsidP="008F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9" w:rsidRDefault="00CA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13" w:rsidRPr="00E14E8E" w:rsidRDefault="002A5513" w:rsidP="008F671D">
    <w:pPr>
      <w:rPr>
        <w:rFonts w:asciiTheme="minorHAnsi" w:hAnsiTheme="minorHAnsi" w:cs="Arial"/>
        <w:b/>
        <w:color w:val="808080" w:themeColor="background1" w:themeShade="80"/>
        <w:sz w:val="28"/>
      </w:rPr>
    </w:pPr>
    <w:r w:rsidRPr="00E14E8E">
      <w:rPr>
        <w:rFonts w:asciiTheme="minorHAnsi" w:hAnsiTheme="minorHAnsi" w:cs="Arial"/>
        <w:b/>
        <w:color w:val="808080" w:themeColor="background1" w:themeShade="80"/>
        <w:sz w:val="28"/>
      </w:rPr>
      <w:t>PFG – 2016/</w:t>
    </w:r>
    <w:r w:rsidR="00CA2A49">
      <w:rPr>
        <w:rFonts w:asciiTheme="minorHAnsi" w:hAnsiTheme="minorHAnsi" w:cs="Arial"/>
        <w:b/>
        <w:color w:val="808080" w:themeColor="background1" w:themeShade="80"/>
        <w:sz w:val="28"/>
      </w:rPr>
      <w:t>2021</w:t>
    </w:r>
    <w:r w:rsidR="004F125B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4F125B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4F125B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4F125B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4F125B"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 w:rsidRPr="00E14E8E">
      <w:rPr>
        <w:rFonts w:asciiTheme="minorHAnsi" w:hAnsiTheme="minorHAnsi" w:cs="Arial"/>
        <w:b/>
        <w:color w:val="808080" w:themeColor="background1" w:themeShade="80"/>
        <w:sz w:val="28"/>
      </w:rPr>
      <w:tab/>
      <w:t>MEASUREMENT ANNEX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9" w:rsidRDefault="00CA2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A3D"/>
    <w:multiLevelType w:val="multilevel"/>
    <w:tmpl w:val="D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326BB"/>
    <w:multiLevelType w:val="hybridMultilevel"/>
    <w:tmpl w:val="4942D086"/>
    <w:lvl w:ilvl="0" w:tplc="30801D3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872"/>
    <w:multiLevelType w:val="hybridMultilevel"/>
    <w:tmpl w:val="392A76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0"/>
    <w:rsid w:val="000200B0"/>
    <w:rsid w:val="00040ECB"/>
    <w:rsid w:val="00046DC7"/>
    <w:rsid w:val="000A4492"/>
    <w:rsid w:val="000A6669"/>
    <w:rsid w:val="000B4FA4"/>
    <w:rsid w:val="000E3D56"/>
    <w:rsid w:val="00104142"/>
    <w:rsid w:val="0010628B"/>
    <w:rsid w:val="00125DD0"/>
    <w:rsid w:val="00131D42"/>
    <w:rsid w:val="00164DC4"/>
    <w:rsid w:val="001668A0"/>
    <w:rsid w:val="001849F8"/>
    <w:rsid w:val="001863BB"/>
    <w:rsid w:val="001938A8"/>
    <w:rsid w:val="001A009C"/>
    <w:rsid w:val="001A1501"/>
    <w:rsid w:val="001A3AAF"/>
    <w:rsid w:val="001C2C68"/>
    <w:rsid w:val="001D5BC3"/>
    <w:rsid w:val="001D69FA"/>
    <w:rsid w:val="002027FF"/>
    <w:rsid w:val="00203B9A"/>
    <w:rsid w:val="00254DA2"/>
    <w:rsid w:val="00290BBD"/>
    <w:rsid w:val="002A5513"/>
    <w:rsid w:val="002A5E91"/>
    <w:rsid w:val="002D1C84"/>
    <w:rsid w:val="002E1810"/>
    <w:rsid w:val="002F1337"/>
    <w:rsid w:val="00316D9E"/>
    <w:rsid w:val="00317644"/>
    <w:rsid w:val="00357CC1"/>
    <w:rsid w:val="003623C1"/>
    <w:rsid w:val="00372264"/>
    <w:rsid w:val="0039007A"/>
    <w:rsid w:val="003954E1"/>
    <w:rsid w:val="00397F49"/>
    <w:rsid w:val="003E3345"/>
    <w:rsid w:val="003E6935"/>
    <w:rsid w:val="003E6FDF"/>
    <w:rsid w:val="003F504A"/>
    <w:rsid w:val="003F74DA"/>
    <w:rsid w:val="00416C51"/>
    <w:rsid w:val="00420621"/>
    <w:rsid w:val="0042409C"/>
    <w:rsid w:val="00425870"/>
    <w:rsid w:val="004544D5"/>
    <w:rsid w:val="00466D66"/>
    <w:rsid w:val="004F125B"/>
    <w:rsid w:val="00501BDD"/>
    <w:rsid w:val="00534AAE"/>
    <w:rsid w:val="005C523C"/>
    <w:rsid w:val="005C79AD"/>
    <w:rsid w:val="005F2EA3"/>
    <w:rsid w:val="00606ED2"/>
    <w:rsid w:val="006101E9"/>
    <w:rsid w:val="00653DD6"/>
    <w:rsid w:val="00696124"/>
    <w:rsid w:val="006B0988"/>
    <w:rsid w:val="006B63FE"/>
    <w:rsid w:val="006D6E49"/>
    <w:rsid w:val="007065EC"/>
    <w:rsid w:val="00735E57"/>
    <w:rsid w:val="00770017"/>
    <w:rsid w:val="0078476C"/>
    <w:rsid w:val="00790AB1"/>
    <w:rsid w:val="007B0EB1"/>
    <w:rsid w:val="007D0190"/>
    <w:rsid w:val="007E4E3C"/>
    <w:rsid w:val="007F0BEB"/>
    <w:rsid w:val="00806A6E"/>
    <w:rsid w:val="00816FFB"/>
    <w:rsid w:val="008248D7"/>
    <w:rsid w:val="00825199"/>
    <w:rsid w:val="00827E91"/>
    <w:rsid w:val="008702DF"/>
    <w:rsid w:val="008B5FE7"/>
    <w:rsid w:val="008B6781"/>
    <w:rsid w:val="008D4C79"/>
    <w:rsid w:val="008F671D"/>
    <w:rsid w:val="00902932"/>
    <w:rsid w:val="009253D7"/>
    <w:rsid w:val="009373F2"/>
    <w:rsid w:val="00937890"/>
    <w:rsid w:val="00966F20"/>
    <w:rsid w:val="00977923"/>
    <w:rsid w:val="009A5F20"/>
    <w:rsid w:val="009E1EBC"/>
    <w:rsid w:val="009E6AFE"/>
    <w:rsid w:val="009E7FBB"/>
    <w:rsid w:val="00A41465"/>
    <w:rsid w:val="00A41582"/>
    <w:rsid w:val="00A535C2"/>
    <w:rsid w:val="00A770B7"/>
    <w:rsid w:val="00A81890"/>
    <w:rsid w:val="00A96C1F"/>
    <w:rsid w:val="00AE36D5"/>
    <w:rsid w:val="00AE6B78"/>
    <w:rsid w:val="00B46DE9"/>
    <w:rsid w:val="00B57CC2"/>
    <w:rsid w:val="00B6370C"/>
    <w:rsid w:val="00B67431"/>
    <w:rsid w:val="00B830CA"/>
    <w:rsid w:val="00BA2994"/>
    <w:rsid w:val="00BA5ED8"/>
    <w:rsid w:val="00BB3E77"/>
    <w:rsid w:val="00BC6DAF"/>
    <w:rsid w:val="00BD4124"/>
    <w:rsid w:val="00BE6E50"/>
    <w:rsid w:val="00C01A40"/>
    <w:rsid w:val="00C31050"/>
    <w:rsid w:val="00C32C23"/>
    <w:rsid w:val="00C6089F"/>
    <w:rsid w:val="00C8195C"/>
    <w:rsid w:val="00C85901"/>
    <w:rsid w:val="00C928BF"/>
    <w:rsid w:val="00CA2A49"/>
    <w:rsid w:val="00CD070A"/>
    <w:rsid w:val="00CE2CEB"/>
    <w:rsid w:val="00CF240A"/>
    <w:rsid w:val="00D0651D"/>
    <w:rsid w:val="00D174EC"/>
    <w:rsid w:val="00D27D3B"/>
    <w:rsid w:val="00D30094"/>
    <w:rsid w:val="00D37393"/>
    <w:rsid w:val="00D403AC"/>
    <w:rsid w:val="00D46C12"/>
    <w:rsid w:val="00D61D8B"/>
    <w:rsid w:val="00DC1C64"/>
    <w:rsid w:val="00DE4070"/>
    <w:rsid w:val="00DE6B3B"/>
    <w:rsid w:val="00DF3305"/>
    <w:rsid w:val="00E14E8E"/>
    <w:rsid w:val="00E61884"/>
    <w:rsid w:val="00E95FBF"/>
    <w:rsid w:val="00ED336F"/>
    <w:rsid w:val="00ED715B"/>
    <w:rsid w:val="00ED7DE8"/>
    <w:rsid w:val="00EF2DD6"/>
    <w:rsid w:val="00EF40E8"/>
    <w:rsid w:val="00F11B2D"/>
    <w:rsid w:val="00F4100B"/>
    <w:rsid w:val="00F67160"/>
    <w:rsid w:val="00F81E8B"/>
    <w:rsid w:val="00FA18BB"/>
    <w:rsid w:val="00FB2DFE"/>
    <w:rsid w:val="00FB47D0"/>
    <w:rsid w:val="00FD16E2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50308-5D8E-42AF-AD6A-351A8A5A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6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902932"/>
    <w:pPr>
      <w:ind w:left="720"/>
    </w:pPr>
    <w:rPr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9029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C6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2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ra.gov.uk/statistics/business-statistics/broad-economy-sales-and-exports-statistic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isra.gov.uk/sites/nisra.gov.uk/files/publications/BESES-counts-tables-2011-2017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sra.gov.uk/sites/nisra.gov.uk/files/publications/BESES-internet-tables-2011-2017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E4BF-9CFD-4B8B-9D2C-186614DB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Niall O'Neill</dc:creator>
  <cp:lastModifiedBy>Donna McCleary</cp:lastModifiedBy>
  <cp:revision>2</cp:revision>
  <cp:lastPrinted>2016-05-19T11:05:00Z</cp:lastPrinted>
  <dcterms:created xsi:type="dcterms:W3CDTF">2019-02-18T16:04:00Z</dcterms:created>
  <dcterms:modified xsi:type="dcterms:W3CDTF">2019-02-18T16:04:00Z</dcterms:modified>
</cp:coreProperties>
</file>